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88CF1">
      <w:pPr>
        <w:jc w:val="center"/>
        <w:rPr>
          <w:rFonts w:hint="eastAsia" w:ascii="宋体" w:hAnsi="宋体" w:cs="宋体"/>
          <w:b/>
          <w:bCs/>
          <w:kern w:val="1"/>
          <w:sz w:val="40"/>
          <w:szCs w:val="40"/>
          <w:lang w:val="en-US" w:eastAsia="zh-CN"/>
        </w:rPr>
      </w:pPr>
      <w:r>
        <w:rPr>
          <w:rFonts w:hint="eastAsia" w:ascii="宋体" w:hAnsi="宋体" w:cs="宋体"/>
          <w:b/>
          <w:bCs/>
          <w:kern w:val="1"/>
          <w:sz w:val="40"/>
          <w:szCs w:val="40"/>
          <w:lang w:val="en-US" w:eastAsia="zh-CN"/>
        </w:rPr>
        <w:t>山东微山湖江来好食品有限公司</w:t>
      </w:r>
    </w:p>
    <w:p w14:paraId="0173073D">
      <w:pPr>
        <w:jc w:val="center"/>
        <w:rPr>
          <w:rFonts w:hint="eastAsia" w:ascii="宋体" w:hAnsi="宋体" w:cs="宋体"/>
          <w:b/>
          <w:bCs/>
          <w:kern w:val="1"/>
          <w:sz w:val="40"/>
          <w:szCs w:val="40"/>
          <w:lang w:val="en-US" w:eastAsia="zh-CN"/>
        </w:rPr>
      </w:pPr>
      <w:r>
        <w:rPr>
          <w:rFonts w:hint="eastAsia" w:ascii="宋体" w:hAnsi="宋体" w:cs="宋体"/>
          <w:b/>
          <w:bCs/>
          <w:kern w:val="1"/>
          <w:sz w:val="40"/>
          <w:szCs w:val="40"/>
          <w:lang w:val="en-US" w:eastAsia="zh-CN"/>
        </w:rPr>
        <w:t>污水处理站废气治理及液氮速冻机排风系统项目</w:t>
      </w:r>
    </w:p>
    <w:p w14:paraId="5593BBA9">
      <w:pPr>
        <w:jc w:val="center"/>
        <w:rPr>
          <w:rFonts w:hint="default" w:ascii="宋体" w:hAnsi="宋体" w:cs="宋体"/>
          <w:b/>
          <w:bCs/>
          <w:kern w:val="1"/>
          <w:sz w:val="40"/>
          <w:szCs w:val="40"/>
          <w:lang w:val="en-US" w:eastAsia="zh-CN"/>
        </w:rPr>
      </w:pPr>
      <w:r>
        <w:rPr>
          <w:rFonts w:hint="eastAsia" w:ascii="宋体" w:hAnsi="宋体" w:cs="宋体"/>
          <w:b/>
          <w:bCs/>
          <w:kern w:val="1"/>
          <w:sz w:val="40"/>
          <w:szCs w:val="40"/>
          <w:lang w:val="en-US" w:eastAsia="zh-CN"/>
        </w:rPr>
        <w:t>招标技术要求</w:t>
      </w:r>
    </w:p>
    <w:p w14:paraId="735D0CF3">
      <w:pPr>
        <w:rPr>
          <w:rFonts w:hint="eastAsia"/>
          <w:lang w:val="en-US" w:eastAsia="zh-CN"/>
        </w:rPr>
      </w:pPr>
    </w:p>
    <w:p w14:paraId="25D31163">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一、</w:t>
      </w:r>
      <w:r>
        <w:rPr>
          <w:rFonts w:hint="eastAsia" w:ascii="宋体" w:hAnsi="宋体" w:eastAsia="宋体" w:cs="宋体"/>
          <w:b/>
          <w:bCs/>
          <w:sz w:val="28"/>
          <w:szCs w:val="28"/>
          <w:lang w:val="en-US" w:eastAsia="zh-CN"/>
        </w:rPr>
        <w:t>项目内容及要求</w:t>
      </w:r>
    </w:p>
    <w:p w14:paraId="7C7C4D86">
      <w:pPr>
        <w:pStyle w:val="2"/>
        <w:keepNext w:val="0"/>
        <w:keepLines w:val="0"/>
        <w:pageBreakBefore w:val="0"/>
        <w:numPr>
          <w:ilvl w:val="0"/>
          <w:numId w:val="0"/>
        </w:numPr>
        <w:kinsoku/>
        <w:wordWrap/>
        <w:overflowPunct/>
        <w:topLinePunct w:val="0"/>
        <w:bidi w:val="0"/>
        <w:spacing w:before="0" w:line="520" w:lineRule="exact"/>
        <w:ind w:left="0" w:leftChars="0" w:firstLine="562" w:firstLineChars="200"/>
        <w:jc w:val="both"/>
        <w:rPr>
          <w:rFonts w:hint="eastAsia" w:ascii="宋体" w:hAnsi="宋体" w:eastAsia="宋体" w:cs="宋体"/>
          <w:b/>
          <w:bCs/>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eastAsia="宋体" w:cs="宋体"/>
          <w:b/>
          <w:bCs/>
          <w:sz w:val="28"/>
          <w:szCs w:val="28"/>
          <w:lang w:val="en-US" w:eastAsia="zh-CN"/>
        </w:rPr>
        <w:t>对污水处理站废气治理及液氮速冻机排风系统进行设计，</w:t>
      </w:r>
    </w:p>
    <w:p w14:paraId="52CB3606">
      <w:pPr>
        <w:pStyle w:val="2"/>
        <w:keepNext w:val="0"/>
        <w:keepLines w:val="0"/>
        <w:pageBreakBefore w:val="0"/>
        <w:numPr>
          <w:ilvl w:val="0"/>
          <w:numId w:val="0"/>
        </w:numPr>
        <w:kinsoku/>
        <w:wordWrap/>
        <w:overflowPunct/>
        <w:topLinePunct w:val="0"/>
        <w:bidi w:val="0"/>
        <w:spacing w:before="0" w:line="520" w:lineRule="exact"/>
        <w:ind w:left="0" w:leftChars="0" w:firstLine="562" w:firstLineChars="200"/>
        <w:jc w:val="both"/>
        <w:rPr>
          <w:rFonts w:hint="eastAsia" w:ascii="宋体" w:hAnsi="宋体" w:eastAsia="宋体" w:cs="宋体"/>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设计依据</w:t>
      </w:r>
      <w:r>
        <w:rPr>
          <w:rFonts w:hint="eastAsia" w:ascii="宋体" w:hAnsi="宋体" w:eastAsia="宋体" w:cs="宋体"/>
          <w:b/>
          <w:bCs/>
          <w:sz w:val="28"/>
          <w:szCs w:val="28"/>
          <w:lang w:eastAsia="zh-CN"/>
        </w:rPr>
        <w:t>：</w:t>
      </w:r>
    </w:p>
    <w:p w14:paraId="48B61C2F">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lang w:val="en-US"/>
        </w:rPr>
      </w:pPr>
      <w:r>
        <w:rPr>
          <w:rFonts w:hint="eastAsia" w:ascii="宋体" w:hAnsi="宋体" w:eastAsia="宋体" w:cs="宋体"/>
          <w:kern w:val="1"/>
          <w:sz w:val="28"/>
          <w:szCs w:val="28"/>
        </w:rPr>
        <w:t>（1）</w:t>
      </w:r>
      <w:r>
        <w:rPr>
          <w:rFonts w:hint="eastAsia" w:ascii="宋体" w:hAnsi="宋体" w:eastAsia="宋体" w:cs="宋体"/>
          <w:kern w:val="1"/>
          <w:sz w:val="28"/>
          <w:szCs w:val="28"/>
          <w:lang w:eastAsia="zh-CN"/>
        </w:rPr>
        <w:t>《</w:t>
      </w:r>
      <w:r>
        <w:rPr>
          <w:rFonts w:hint="eastAsia" w:ascii="宋体" w:hAnsi="宋体" w:eastAsia="宋体" w:cs="宋体"/>
          <w:kern w:val="1"/>
          <w:sz w:val="28"/>
          <w:szCs w:val="28"/>
        </w:rPr>
        <w:t>山东微山湖江来好食品有限公司年产300吨预制菜建设项目环境影响报告表</w:t>
      </w:r>
      <w:r>
        <w:rPr>
          <w:rFonts w:hint="eastAsia" w:ascii="宋体" w:hAnsi="宋体" w:eastAsia="宋体" w:cs="宋体"/>
          <w:kern w:val="1"/>
          <w:sz w:val="28"/>
          <w:szCs w:val="28"/>
          <w:lang w:eastAsia="zh-CN"/>
        </w:rPr>
        <w:t>》</w:t>
      </w:r>
      <w:r>
        <w:rPr>
          <w:rFonts w:hint="eastAsia" w:ascii="宋体" w:hAnsi="宋体" w:eastAsia="宋体" w:cs="宋体"/>
          <w:kern w:val="1"/>
          <w:sz w:val="28"/>
          <w:szCs w:val="28"/>
          <w:lang w:val="en-US" w:eastAsia="zh-CN"/>
        </w:rPr>
        <w:t>及</w:t>
      </w:r>
      <w:r>
        <w:rPr>
          <w:rFonts w:hint="eastAsia" w:ascii="宋体" w:hAnsi="宋体" w:eastAsia="宋体" w:cs="宋体"/>
          <w:color w:val="auto"/>
          <w:sz w:val="28"/>
          <w:szCs w:val="28"/>
          <w:lang w:val="en-US" w:eastAsia="zh-CN"/>
        </w:rPr>
        <w:t>审批意见（济环报告表(微山)〔2024〕4号）</w:t>
      </w:r>
    </w:p>
    <w:p w14:paraId="191A2893">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（2）《中华人民共和国环境保护法》（2015-01-01）</w:t>
      </w:r>
    </w:p>
    <w:p w14:paraId="675DF56F">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（3）《中华人民共和国大气污染防治法》（2016-01-01）</w:t>
      </w:r>
    </w:p>
    <w:p w14:paraId="3921ECB6">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（4）环境空气质量标准（GB3095-2012）</w:t>
      </w:r>
    </w:p>
    <w:p w14:paraId="6468F64B">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（5）中华人民共和国主席令第72号《中华人民共和国清洁生产促进法》</w:t>
      </w:r>
    </w:p>
    <w:p w14:paraId="7130744D">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（6）《国家环境保护“十三五”计划》</w:t>
      </w:r>
    </w:p>
    <w:p w14:paraId="6BB5DB4C">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（7）《大气污染物综合排放标准》（GB16297-1996）</w:t>
      </w:r>
    </w:p>
    <w:p w14:paraId="4361E400">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（8）《恶臭污染物排放标准》（GB14554-1993）</w:t>
      </w:r>
    </w:p>
    <w:p w14:paraId="17A83D15">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（9）《建设项目环境保护设计规范》（GB50483-2009）</w:t>
      </w:r>
    </w:p>
    <w:p w14:paraId="31B0DF30">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（10）《采暖通风和空气调节设计规范》（GB50019-2003）</w:t>
      </w:r>
    </w:p>
    <w:p w14:paraId="09DBE0CB">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（11）《建筑设计防火规范》（GB50016-2014）</w:t>
      </w:r>
    </w:p>
    <w:p w14:paraId="2E6AB11E">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（12）《供配电系统设计规范》（GB50052-2009）</w:t>
      </w:r>
    </w:p>
    <w:p w14:paraId="58E3BFA7">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kern w:val="1"/>
          <w:sz w:val="28"/>
          <w:szCs w:val="28"/>
          <w:lang w:val="en-US" w:eastAsia="zh-CN"/>
        </w:rPr>
      </w:pPr>
      <w:r>
        <w:rPr>
          <w:rFonts w:hint="eastAsia" w:ascii="宋体" w:hAnsi="宋体" w:eastAsia="宋体" w:cs="宋体"/>
          <w:kern w:val="1"/>
          <w:sz w:val="28"/>
          <w:szCs w:val="28"/>
        </w:rPr>
        <w:t>（13）《工业企业挥发性有机物控制排放标准》DB13/2322-201</w:t>
      </w:r>
      <w:r>
        <w:rPr>
          <w:rFonts w:hint="eastAsia" w:ascii="宋体" w:hAnsi="宋体" w:eastAsia="宋体" w:cs="宋体"/>
          <w:kern w:val="1"/>
          <w:sz w:val="28"/>
          <w:szCs w:val="28"/>
          <w:lang w:val="en-US" w:eastAsia="zh-CN"/>
        </w:rPr>
        <w:t>9</w:t>
      </w:r>
    </w:p>
    <w:p w14:paraId="43BA48CF">
      <w:pPr>
        <w:keepNext w:val="0"/>
        <w:keepLines w:val="0"/>
        <w:pageBreakBefore w:val="0"/>
        <w:kinsoku/>
        <w:wordWrap/>
        <w:overflowPunct/>
        <w:topLinePunct w:val="0"/>
        <w:bidi w:val="0"/>
        <w:spacing w:line="52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kern w:val="1"/>
          <w:sz w:val="28"/>
          <w:szCs w:val="28"/>
        </w:rPr>
        <w:t>（</w:t>
      </w:r>
      <w:r>
        <w:rPr>
          <w:rFonts w:hint="eastAsia" w:ascii="宋体" w:hAnsi="宋体" w:eastAsia="宋体" w:cs="宋体"/>
          <w:kern w:val="1"/>
          <w:sz w:val="28"/>
          <w:szCs w:val="28"/>
          <w:lang w:val="en-US" w:eastAsia="zh-CN"/>
        </w:rPr>
        <w:t>14</w:t>
      </w:r>
      <w:r>
        <w:rPr>
          <w:rFonts w:hint="eastAsia" w:ascii="宋体" w:hAnsi="宋体" w:eastAsia="宋体" w:cs="宋体"/>
          <w:kern w:val="1"/>
          <w:sz w:val="28"/>
          <w:szCs w:val="28"/>
        </w:rPr>
        <w:t>）《</w:t>
      </w:r>
      <w:r>
        <w:rPr>
          <w:rFonts w:hint="eastAsia" w:ascii="宋体" w:hAnsi="宋体" w:eastAsia="宋体" w:cs="宋体"/>
          <w:kern w:val="1"/>
          <w:sz w:val="28"/>
          <w:szCs w:val="28"/>
          <w:lang w:val="en-US" w:eastAsia="zh-CN"/>
        </w:rPr>
        <w:t>山东省区域性</w:t>
      </w:r>
      <w:r>
        <w:rPr>
          <w:rFonts w:hint="eastAsia" w:ascii="宋体" w:hAnsi="宋体" w:eastAsia="宋体" w:cs="宋体"/>
          <w:kern w:val="1"/>
          <w:sz w:val="28"/>
          <w:szCs w:val="28"/>
        </w:rPr>
        <w:t>大气污染物综合排放标准》（</w:t>
      </w:r>
      <w:r>
        <w:rPr>
          <w:rFonts w:hint="eastAsia" w:ascii="宋体" w:hAnsi="宋体" w:eastAsia="宋体" w:cs="宋体"/>
          <w:kern w:val="1"/>
          <w:sz w:val="28"/>
          <w:szCs w:val="28"/>
          <w:lang w:val="en-US" w:eastAsia="zh-CN"/>
        </w:rPr>
        <w:t>DB37/2376-2019</w:t>
      </w:r>
      <w:r>
        <w:rPr>
          <w:rFonts w:hint="eastAsia" w:ascii="宋体" w:hAnsi="宋体" w:eastAsia="宋体" w:cs="宋体"/>
          <w:kern w:val="1"/>
          <w:sz w:val="28"/>
          <w:szCs w:val="28"/>
        </w:rPr>
        <w:t>）</w:t>
      </w:r>
    </w:p>
    <w:p w14:paraId="4A284034">
      <w:pPr>
        <w:pStyle w:val="2"/>
        <w:keepNext w:val="0"/>
        <w:keepLines w:val="0"/>
        <w:pageBreakBefore w:val="0"/>
        <w:numPr>
          <w:ilvl w:val="0"/>
          <w:numId w:val="0"/>
        </w:numPr>
        <w:kinsoku/>
        <w:wordWrap/>
        <w:overflowPunct/>
        <w:topLinePunct w:val="0"/>
        <w:bidi w:val="0"/>
        <w:spacing w:before="0" w:line="520" w:lineRule="exact"/>
        <w:ind w:left="0" w:leftChars="0" w:firstLine="562" w:firstLineChars="200"/>
        <w:jc w:val="both"/>
        <w:rPr>
          <w:rFonts w:hint="eastAsia" w:ascii="宋体" w:hAnsi="宋体" w:eastAsia="宋体" w:cs="宋体"/>
          <w:sz w:val="28"/>
          <w:szCs w:val="28"/>
        </w:rPr>
      </w:pPr>
      <w:r>
        <w:rPr>
          <w:rFonts w:hint="eastAsia" w:ascii="宋体" w:hAnsi="宋体" w:eastAsia="宋体" w:cs="宋体"/>
          <w:b/>
          <w:bCs/>
          <w:sz w:val="28"/>
          <w:szCs w:val="28"/>
          <w:lang w:val="en-US" w:eastAsia="zh-CN"/>
        </w:rPr>
        <w:t>2.设计原则</w:t>
      </w:r>
    </w:p>
    <w:p w14:paraId="2E3C0DAB">
      <w:pPr>
        <w:keepNext w:val="0"/>
        <w:keepLines w:val="0"/>
        <w:pageBreakBefore w:val="0"/>
        <w:numPr>
          <w:ilvl w:val="0"/>
          <w:numId w:val="0"/>
        </w:numPr>
        <w:kinsoku/>
        <w:wordWrap/>
        <w:overflowPunct/>
        <w:topLinePunct w:val="0"/>
        <w:bidi w:val="0"/>
        <w:spacing w:line="520" w:lineRule="exact"/>
        <w:ind w:left="0" w:leftChars="0" w:firstLine="560" w:firstLineChars="200"/>
        <w:rPr>
          <w:rFonts w:hint="eastAsia" w:ascii="宋体" w:hAnsi="宋体" w:eastAsia="宋体" w:cs="宋体"/>
          <w:sz w:val="28"/>
          <w:szCs w:val="28"/>
        </w:rPr>
      </w:pPr>
      <w:bookmarkStart w:id="0" w:name="_Toc171932608"/>
      <w:bookmarkStart w:id="1" w:name="_Toc197323880"/>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该项目将按照技术合理性、经济性、达标安全性的原则设计和建设。</w:t>
      </w:r>
    </w:p>
    <w:p w14:paraId="00D1E4A5">
      <w:pPr>
        <w:keepNext w:val="0"/>
        <w:keepLines w:val="0"/>
        <w:pageBreakBefore w:val="0"/>
        <w:widowControl w:val="0"/>
        <w:numPr>
          <w:ilvl w:val="0"/>
          <w:numId w:val="0"/>
        </w:numPr>
        <w:kinsoku/>
        <w:wordWrap/>
        <w:overflowPunct/>
        <w:topLinePunct w:val="0"/>
        <w:bidi w:val="0"/>
        <w:spacing w:line="520" w:lineRule="exact"/>
        <w:ind w:left="0" w:leftChars="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（2）严格执行国家环境保护政策及相关法规、规范及标准，使治理区域内污染物浓度远低于国家标准。</w:t>
      </w:r>
    </w:p>
    <w:p w14:paraId="7DA4F791">
      <w:pPr>
        <w:keepNext w:val="0"/>
        <w:keepLines w:val="0"/>
        <w:pageBreakBefore w:val="0"/>
        <w:numPr>
          <w:ilvl w:val="0"/>
          <w:numId w:val="0"/>
        </w:numPr>
        <w:kinsoku/>
        <w:wordWrap/>
        <w:overflowPunct/>
        <w:topLinePunct w:val="0"/>
        <w:bidi w:val="0"/>
        <w:adjustRightInd w:val="0"/>
        <w:snapToGrid w:val="0"/>
        <w:spacing w:line="520"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技术合理性：项目的设计方案，在充分考虑现有各种现行标准、规范的同时，也应充分兼顾操作管理、维护巡检的安全和便利，处理工艺应具备充分的技术合理性；</w:t>
      </w:r>
    </w:p>
    <w:p w14:paraId="14D7EE4A">
      <w:pPr>
        <w:keepNext w:val="0"/>
        <w:keepLines w:val="0"/>
        <w:pageBreakBefore w:val="0"/>
        <w:numPr>
          <w:ilvl w:val="0"/>
          <w:numId w:val="0"/>
        </w:numPr>
        <w:kinsoku/>
        <w:wordWrap/>
        <w:overflowPunct/>
        <w:topLinePunct w:val="0"/>
        <w:bidi w:val="0"/>
        <w:adjustRightInd w:val="0"/>
        <w:snapToGrid w:val="0"/>
        <w:spacing w:line="520"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经济性：在项目设计时，应充分考虑到项目的实用性、可操作性、易维护性等方面的因素，本着合理、科学、实用和为业主节约造价、运行成本的原则；</w:t>
      </w:r>
    </w:p>
    <w:p w14:paraId="165DC8E2">
      <w:pPr>
        <w:keepNext w:val="0"/>
        <w:keepLines w:val="0"/>
        <w:pageBreakBefore w:val="0"/>
        <w:numPr>
          <w:ilvl w:val="0"/>
          <w:numId w:val="0"/>
        </w:numPr>
        <w:kinsoku/>
        <w:wordWrap/>
        <w:overflowPunct/>
        <w:topLinePunct w:val="0"/>
        <w:bidi w:val="0"/>
        <w:adjustRightInd w:val="0"/>
        <w:snapToGrid w:val="0"/>
        <w:spacing w:line="520"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达标安全性：</w:t>
      </w:r>
      <w:r>
        <w:rPr>
          <w:rFonts w:hint="eastAsia" w:ascii="宋体" w:hAnsi="宋体" w:eastAsia="宋体" w:cs="宋体"/>
          <w:sz w:val="28"/>
          <w:szCs w:val="28"/>
          <w:lang w:val="en-US" w:eastAsia="zh-CN"/>
        </w:rPr>
        <w:t>熔炼烟尘</w:t>
      </w:r>
      <w:r>
        <w:rPr>
          <w:rFonts w:hint="eastAsia" w:ascii="宋体" w:hAnsi="宋体" w:eastAsia="宋体" w:cs="宋体"/>
          <w:sz w:val="28"/>
          <w:szCs w:val="28"/>
        </w:rPr>
        <w:t>应确保达到整体设计目标中的排放标准；</w:t>
      </w:r>
    </w:p>
    <w:p w14:paraId="343BB7CE">
      <w:pPr>
        <w:pStyle w:val="5"/>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结合工程条件和排放标准，谨慎合理选择工程设计方案，并尽量采用先进技术、新材料、新布局，以减少运行费用，确保处理系统长期运行安全可靠；选择先进的技术，避免二次污染；</w:t>
      </w:r>
      <w:bookmarkEnd w:id="0"/>
      <w:bookmarkEnd w:id="1"/>
    </w:p>
    <w:p w14:paraId="7E7D8E6F">
      <w:pPr>
        <w:pStyle w:val="5"/>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宋体" w:hAnsi="宋体" w:eastAsia="宋体" w:cs="宋体"/>
          <w:b/>
          <w:bCs/>
          <w:color w:val="auto"/>
          <w:kern w:val="2"/>
          <w:sz w:val="28"/>
          <w:szCs w:val="28"/>
          <w:lang w:val="en-US" w:eastAsia="zh-CN" w:bidi="zh-CN"/>
        </w:rPr>
      </w:pPr>
      <w:r>
        <w:rPr>
          <w:rFonts w:hint="eastAsia" w:ascii="宋体" w:hAnsi="宋体" w:eastAsia="宋体" w:cs="宋体"/>
          <w:b/>
          <w:bCs/>
          <w:color w:val="auto"/>
          <w:kern w:val="2"/>
          <w:sz w:val="28"/>
          <w:szCs w:val="28"/>
          <w:lang w:val="en-US" w:eastAsia="zh-CN" w:bidi="zh-CN"/>
        </w:rPr>
        <w:t>（二）项目建设内容：</w:t>
      </w:r>
    </w:p>
    <w:p w14:paraId="1E1CD3FB">
      <w:pPr>
        <w:pStyle w:val="5"/>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1.污水处理站废气治理建设设备（设施）</w:t>
      </w:r>
    </w:p>
    <w:p w14:paraId="7BD483E1">
      <w:pPr>
        <w:pStyle w:val="5"/>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《山东微山湖江来好食品有限公司年产300吨预制菜建设项目环境影响报告表》及审批意见（济环报告表(微山)〔2024〕4号）中要求:加盖密闭处理，恶臭废气收集后经二级活性炭吸附处理后，经1根15m高排气管排放。     </w:t>
      </w:r>
    </w:p>
    <w:p w14:paraId="64CB10DD">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1.1</w:t>
      </w:r>
      <w:r>
        <w:rPr>
          <w:rFonts w:hint="eastAsia" w:ascii="宋体" w:hAnsi="宋体" w:eastAsia="宋体" w:cs="宋体"/>
          <w:color w:val="auto"/>
          <w:sz w:val="28"/>
          <w:szCs w:val="28"/>
          <w:lang w:val="en-US" w:eastAsia="zh-CN"/>
        </w:rPr>
        <w:t>需要在污水收集池、污水设备加盖密闭后将收集的恶</w:t>
      </w:r>
      <w:r>
        <w:rPr>
          <w:rFonts w:hint="eastAsia" w:ascii="宋体" w:hAnsi="宋体" w:eastAsia="宋体" w:cs="宋体"/>
          <w:sz w:val="28"/>
          <w:szCs w:val="28"/>
          <w:lang w:val="en-US" w:eastAsia="zh-CN"/>
        </w:rPr>
        <w:t>臭</w:t>
      </w:r>
      <w:r>
        <w:rPr>
          <w:rFonts w:hint="eastAsia" w:ascii="宋体" w:hAnsi="宋体" w:eastAsia="宋体" w:cs="宋体"/>
          <w:color w:val="auto"/>
          <w:sz w:val="28"/>
          <w:szCs w:val="28"/>
          <w:lang w:val="en-US" w:eastAsia="zh-CN"/>
        </w:rPr>
        <w:t>气体经二级活性炭吸附处理后，通过1根15m高排气管排放。</w:t>
      </w:r>
    </w:p>
    <w:p w14:paraId="1793439B">
      <w:pPr>
        <w:pStyle w:val="5"/>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1.1.1净化工艺和流程</w:t>
      </w:r>
    </w:p>
    <w:p w14:paraId="1B6493C2">
      <w:pPr>
        <w:pStyle w:val="5"/>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本工程选用“活性炭吸附法”来净化废水处理池废气中有机污染物。净化设备其工作原理如下：</w:t>
      </w:r>
    </w:p>
    <w:p w14:paraId="1A5F130D">
      <w:pPr>
        <w:pStyle w:val="5"/>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首先在污水处理站设备（设施）上方装废气聚集罩把无组织废气集中收集，再由风力作用引导到活性碳吸附净化箱，活性碳净化箱是利用高效吸附材料－活性碳,吸附有机气体能力强的优点来净化空气的。活性碳净化箱分进风、活性碳过滤段和出风段组成，废气中的有机物被活性炭吸附，从而使气体得到净化，经净化后的气体可直接排放。整体封闭式密封盖，配套预留观察门三扇，废气经管道收集后进入二级活性炭吸附装置，处理后的废气经15m排气筒排放，排气筒设置取样口和取样平台。</w:t>
      </w:r>
    </w:p>
    <w:p w14:paraId="63B5A23E">
      <w:pPr>
        <w:pStyle w:val="5"/>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设备示意图</w:t>
      </w:r>
    </w:p>
    <w:p w14:paraId="07B6200F">
      <w:pPr>
        <w:pStyle w:val="5"/>
        <w:keepNext w:val="0"/>
        <w:keepLines w:val="0"/>
        <w:pageBreakBefore w:val="0"/>
        <w:widowControl w:val="0"/>
        <w:kinsoku/>
        <w:wordWrap/>
        <w:overflowPunct/>
        <w:topLinePunct w:val="0"/>
        <w:autoSpaceDE/>
        <w:autoSpaceDN/>
        <w:bidi w:val="0"/>
        <w:adjustRightInd/>
        <w:snapToGrid/>
        <w:spacing w:after="0" w:afterLines="0" w:line="52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anchor distT="0" distB="0" distL="114300" distR="114300" simplePos="0" relativeHeight="251659264" behindDoc="1" locked="0" layoutInCell="1" allowOverlap="1">
            <wp:simplePos x="0" y="0"/>
            <wp:positionH relativeFrom="column">
              <wp:posOffset>288925</wp:posOffset>
            </wp:positionH>
            <wp:positionV relativeFrom="paragraph">
              <wp:posOffset>226060</wp:posOffset>
            </wp:positionV>
            <wp:extent cx="5398770" cy="2218690"/>
            <wp:effectExtent l="0" t="0" r="30480" b="48260"/>
            <wp:wrapTight wrapText="bothSides">
              <wp:wrapPolygon>
                <wp:start x="0" y="0"/>
                <wp:lineTo x="0" y="21328"/>
                <wp:lineTo x="21493" y="21328"/>
                <wp:lineTo x="21493" y="0"/>
                <wp:lineTo x="0" y="0"/>
              </wp:wrapPolygon>
            </wp:wrapTight>
            <wp:docPr id="1" name="图片 1" descr="97ce5d331dd1a6280ff5f9a94c6a8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ce5d331dd1a6280ff5f9a94c6a82c"/>
                    <pic:cNvPicPr>
                      <a:picLocks noChangeAspect="1"/>
                    </pic:cNvPicPr>
                  </pic:nvPicPr>
                  <pic:blipFill>
                    <a:blip r:embed="rId4"/>
                    <a:stretch>
                      <a:fillRect/>
                    </a:stretch>
                  </pic:blipFill>
                  <pic:spPr>
                    <a:xfrm>
                      <a:off x="0" y="0"/>
                      <a:ext cx="5398770" cy="2218690"/>
                    </a:xfrm>
                    <a:prstGeom prst="rect">
                      <a:avLst/>
                    </a:prstGeom>
                    <a:noFill/>
                    <a:ln>
                      <a:noFill/>
                    </a:ln>
                  </pic:spPr>
                </pic:pic>
              </a:graphicData>
            </a:graphic>
          </wp:anchor>
        </w:drawing>
      </w:r>
    </w:p>
    <w:p w14:paraId="0ED63E65">
      <w:pPr>
        <w:keepNext w:val="0"/>
        <w:keepLines w:val="0"/>
        <w:pageBreakBefore w:val="0"/>
        <w:kinsoku/>
        <w:wordWrap/>
        <w:overflowPunct/>
        <w:topLinePunct w:val="0"/>
        <w:bidi w:val="0"/>
        <w:spacing w:line="520" w:lineRule="exact"/>
        <w:outlineLvl w:val="0"/>
        <w:rPr>
          <w:rFonts w:hint="eastAsia" w:ascii="宋体" w:hAnsi="宋体" w:eastAsia="宋体" w:cs="宋体"/>
          <w:b/>
          <w:sz w:val="28"/>
          <w:szCs w:val="28"/>
          <w:lang w:val="en-US" w:eastAsia="zh-CN"/>
        </w:rPr>
      </w:pPr>
    </w:p>
    <w:p w14:paraId="4108B082">
      <w:pPr>
        <w:keepNext w:val="0"/>
        <w:keepLines w:val="0"/>
        <w:pageBreakBefore w:val="0"/>
        <w:kinsoku/>
        <w:wordWrap/>
        <w:overflowPunct/>
        <w:topLinePunct w:val="0"/>
        <w:bidi w:val="0"/>
        <w:spacing w:line="520" w:lineRule="exact"/>
        <w:outlineLvl w:val="0"/>
        <w:rPr>
          <w:rFonts w:hint="eastAsia" w:ascii="宋体" w:hAnsi="宋体" w:eastAsia="宋体" w:cs="宋体"/>
          <w:color w:val="000000"/>
          <w:kern w:val="0"/>
          <w:sz w:val="28"/>
          <w:szCs w:val="28"/>
        </w:rPr>
      </w:pPr>
      <w:r>
        <w:rPr>
          <w:rFonts w:hint="eastAsia" w:ascii="宋体" w:hAnsi="宋体" w:eastAsia="宋体" w:cs="宋体"/>
          <w:b/>
          <w:sz w:val="28"/>
          <w:szCs w:val="28"/>
          <w:lang w:val="en-US" w:eastAsia="zh-CN"/>
        </w:rPr>
        <w:t>1.1.2主要设备</w:t>
      </w:r>
      <w:r>
        <w:rPr>
          <w:rFonts w:hint="eastAsia" w:ascii="宋体" w:hAnsi="宋体" w:eastAsia="宋体" w:cs="宋体"/>
          <w:b/>
          <w:sz w:val="28"/>
          <w:szCs w:val="28"/>
        </w:rPr>
        <w:t>技术规格性能参数</w:t>
      </w:r>
    </w:p>
    <w:tbl>
      <w:tblPr>
        <w:tblStyle w:val="6"/>
        <w:tblpPr w:leftFromText="180" w:rightFromText="180" w:vertAnchor="text" w:horzAnchor="page" w:tblpXSpec="center" w:tblpY="643"/>
        <w:tblW w:w="9458" w:type="dxa"/>
        <w:jc w:val="center"/>
        <w:tblCellSpacing w:w="7" w:type="dxa"/>
        <w:shd w:val="clear" w:color="auto" w:fill="CCCCCC"/>
        <w:tblLayout w:type="fixed"/>
        <w:tblCellMar>
          <w:top w:w="0" w:type="dxa"/>
          <w:left w:w="0" w:type="dxa"/>
          <w:bottom w:w="0" w:type="dxa"/>
          <w:right w:w="0" w:type="dxa"/>
        </w:tblCellMar>
      </w:tblPr>
      <w:tblGrid>
        <w:gridCol w:w="1161"/>
        <w:gridCol w:w="1815"/>
        <w:gridCol w:w="5504"/>
        <w:gridCol w:w="14"/>
        <w:gridCol w:w="949"/>
        <w:gridCol w:w="12"/>
        <w:gridCol w:w="3"/>
      </w:tblGrid>
      <w:tr w14:paraId="7E565F6E">
        <w:tblPrEx>
          <w:shd w:val="clear" w:color="auto" w:fill="CCCCCC"/>
          <w:tblCellMar>
            <w:top w:w="0" w:type="dxa"/>
            <w:left w:w="0" w:type="dxa"/>
            <w:bottom w:w="0" w:type="dxa"/>
            <w:right w:w="0" w:type="dxa"/>
          </w:tblCellMar>
        </w:tblPrEx>
        <w:trPr>
          <w:gridAfter w:val="1"/>
          <w:wAfter w:w="0" w:type="dxa"/>
          <w:trHeight w:val="663" w:hRule="atLeast"/>
          <w:tblCellSpacing w:w="7" w:type="dxa"/>
          <w:jc w:val="center"/>
        </w:trPr>
        <w:tc>
          <w:tcPr>
            <w:tcW w:w="1140" w:type="dxa"/>
            <w:tcBorders>
              <w:top w:val="single" w:color="auto" w:sz="6" w:space="0"/>
              <w:left w:val="single" w:color="auto" w:sz="6" w:space="0"/>
              <w:bottom w:val="single" w:color="auto" w:sz="6" w:space="0"/>
              <w:right w:val="single" w:color="auto" w:sz="4" w:space="0"/>
            </w:tcBorders>
            <w:shd w:val="clear" w:color="auto" w:fill="FFFFFF"/>
            <w:noWrap w:val="0"/>
            <w:vAlign w:val="center"/>
          </w:tcPr>
          <w:p w14:paraId="7E7EF0EA">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801" w:type="dxa"/>
            <w:tcBorders>
              <w:top w:val="single" w:color="auto" w:sz="6" w:space="0"/>
              <w:left w:val="single" w:color="auto" w:sz="6" w:space="0"/>
              <w:bottom w:val="single" w:color="auto" w:sz="6" w:space="0"/>
              <w:right w:val="single" w:color="auto" w:sz="4" w:space="0"/>
            </w:tcBorders>
            <w:shd w:val="clear" w:color="auto" w:fill="FFFFFF"/>
            <w:noWrap w:val="0"/>
            <w:vAlign w:val="center"/>
          </w:tcPr>
          <w:p w14:paraId="4BBC2FE1">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部件名称</w:t>
            </w:r>
          </w:p>
        </w:tc>
        <w:tc>
          <w:tcPr>
            <w:tcW w:w="5504" w:type="dxa"/>
            <w:gridSpan w:val="2"/>
            <w:tcBorders>
              <w:top w:val="single" w:color="auto" w:sz="6" w:space="0"/>
              <w:left w:val="nil"/>
              <w:bottom w:val="single" w:color="auto" w:sz="6" w:space="0"/>
              <w:right w:val="single" w:color="auto" w:sz="4" w:space="0"/>
            </w:tcBorders>
            <w:shd w:val="clear" w:color="auto" w:fill="FFFFFF"/>
            <w:noWrap w:val="0"/>
            <w:vAlign w:val="center"/>
          </w:tcPr>
          <w:p w14:paraId="42E0E643">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规格参数</w:t>
            </w:r>
          </w:p>
        </w:tc>
        <w:tc>
          <w:tcPr>
            <w:tcW w:w="940" w:type="dxa"/>
            <w:gridSpan w:val="2"/>
            <w:tcBorders>
              <w:top w:val="single" w:color="auto" w:sz="6" w:space="0"/>
              <w:left w:val="single" w:color="auto" w:sz="4" w:space="0"/>
              <w:bottom w:val="single" w:color="auto" w:sz="6" w:space="0"/>
              <w:right w:val="single" w:color="auto" w:sz="6" w:space="0"/>
            </w:tcBorders>
            <w:shd w:val="clear" w:color="auto" w:fill="FFFFFF"/>
            <w:noWrap w:val="0"/>
            <w:vAlign w:val="center"/>
          </w:tcPr>
          <w:p w14:paraId="015537BD">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00FE4355">
        <w:tblPrEx>
          <w:shd w:val="clear" w:color="auto" w:fill="CCCCCC"/>
          <w:tblCellMar>
            <w:top w:w="0" w:type="dxa"/>
            <w:left w:w="0" w:type="dxa"/>
            <w:bottom w:w="0" w:type="dxa"/>
            <w:right w:w="0" w:type="dxa"/>
          </w:tblCellMar>
        </w:tblPrEx>
        <w:trPr>
          <w:gridAfter w:val="1"/>
          <w:wAfter w:w="0" w:type="dxa"/>
          <w:trHeight w:val="651" w:hRule="atLeast"/>
          <w:tblCellSpacing w:w="7" w:type="dxa"/>
          <w:jc w:val="center"/>
        </w:trPr>
        <w:tc>
          <w:tcPr>
            <w:tcW w:w="1140" w:type="dxa"/>
            <w:vMerge w:val="restart"/>
            <w:tcBorders>
              <w:left w:val="single" w:color="auto" w:sz="6" w:space="0"/>
              <w:right w:val="single" w:color="auto" w:sz="4" w:space="0"/>
            </w:tcBorders>
            <w:shd w:val="clear" w:color="auto" w:fill="FFFFFF"/>
            <w:noWrap w:val="0"/>
            <w:vAlign w:val="center"/>
          </w:tcPr>
          <w:p w14:paraId="64A168C2">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01" w:type="dxa"/>
            <w:vMerge w:val="restart"/>
            <w:tcBorders>
              <w:left w:val="single" w:color="auto" w:sz="6" w:space="0"/>
              <w:right w:val="single" w:color="auto" w:sz="4" w:space="0"/>
            </w:tcBorders>
            <w:shd w:val="clear" w:color="auto" w:fill="FFFFFF"/>
            <w:noWrap w:val="0"/>
            <w:vAlign w:val="center"/>
          </w:tcPr>
          <w:p w14:paraId="45A913F6">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活性炭吸附器</w:t>
            </w:r>
          </w:p>
        </w:tc>
        <w:tc>
          <w:tcPr>
            <w:tcW w:w="5504" w:type="dxa"/>
            <w:gridSpan w:val="2"/>
            <w:tcBorders>
              <w:top w:val="single" w:color="auto" w:sz="6" w:space="0"/>
              <w:left w:val="nil"/>
              <w:bottom w:val="single" w:color="auto" w:sz="4" w:space="0"/>
              <w:right w:val="single" w:color="auto" w:sz="4" w:space="0"/>
            </w:tcBorders>
            <w:shd w:val="clear" w:color="auto" w:fill="FFFFFF"/>
            <w:noWrap w:val="0"/>
            <w:vAlign w:val="center"/>
          </w:tcPr>
          <w:p w14:paraId="58DB8FFD">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第二道  活性炭吸附层</w:t>
            </w:r>
          </w:p>
        </w:tc>
        <w:tc>
          <w:tcPr>
            <w:tcW w:w="940" w:type="dxa"/>
            <w:gridSpan w:val="2"/>
            <w:tcBorders>
              <w:top w:val="single" w:color="auto" w:sz="6" w:space="0"/>
              <w:left w:val="single" w:color="auto" w:sz="4" w:space="0"/>
              <w:bottom w:val="single" w:color="auto" w:sz="4" w:space="0"/>
              <w:right w:val="single" w:color="auto" w:sz="6" w:space="0"/>
            </w:tcBorders>
            <w:shd w:val="clear" w:color="auto" w:fill="FFFFFF"/>
            <w:noWrap w:val="0"/>
            <w:vAlign w:val="center"/>
          </w:tcPr>
          <w:p w14:paraId="0E904AB2">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双层</w:t>
            </w:r>
          </w:p>
        </w:tc>
      </w:tr>
      <w:tr w14:paraId="7C290499">
        <w:tblPrEx>
          <w:shd w:val="clear" w:color="auto" w:fill="CCCCCC"/>
          <w:tblCellMar>
            <w:top w:w="0" w:type="dxa"/>
            <w:left w:w="0" w:type="dxa"/>
            <w:bottom w:w="0" w:type="dxa"/>
            <w:right w:w="0" w:type="dxa"/>
          </w:tblCellMar>
        </w:tblPrEx>
        <w:trPr>
          <w:trHeight w:val="651" w:hRule="atLeast"/>
          <w:tblCellSpacing w:w="7" w:type="dxa"/>
          <w:jc w:val="center"/>
        </w:trPr>
        <w:tc>
          <w:tcPr>
            <w:tcW w:w="1140" w:type="dxa"/>
            <w:vMerge w:val="continue"/>
            <w:tcBorders>
              <w:left w:val="single" w:color="auto" w:sz="6" w:space="0"/>
              <w:right w:val="single" w:color="auto" w:sz="4" w:space="0"/>
            </w:tcBorders>
            <w:shd w:val="clear" w:color="auto" w:fill="FFFFFF"/>
            <w:noWrap w:val="0"/>
            <w:vAlign w:val="center"/>
          </w:tcPr>
          <w:p w14:paraId="34EF4B73">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c>
          <w:tcPr>
            <w:tcW w:w="1801" w:type="dxa"/>
            <w:vMerge w:val="continue"/>
            <w:tcBorders>
              <w:left w:val="single" w:color="auto" w:sz="6" w:space="0"/>
              <w:right w:val="single" w:color="auto" w:sz="4" w:space="0"/>
            </w:tcBorders>
            <w:shd w:val="clear" w:color="auto" w:fill="FFFFFF"/>
            <w:noWrap w:val="0"/>
            <w:vAlign w:val="center"/>
          </w:tcPr>
          <w:p w14:paraId="1D4FA20C">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c>
          <w:tcPr>
            <w:tcW w:w="5490" w:type="dxa"/>
            <w:tcBorders>
              <w:top w:val="single" w:color="auto" w:sz="6" w:space="0"/>
              <w:left w:val="nil"/>
              <w:bottom w:val="single" w:color="auto" w:sz="4" w:space="0"/>
              <w:right w:val="single" w:color="auto" w:sz="4" w:space="0"/>
            </w:tcBorders>
            <w:shd w:val="clear" w:color="auto" w:fill="FFFFFF"/>
            <w:noWrap w:val="0"/>
            <w:vAlign w:val="center"/>
          </w:tcPr>
          <w:p w14:paraId="66000F7F">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箱体材质：304不锈钢厚度不小于0.5mm</w:t>
            </w:r>
          </w:p>
        </w:tc>
        <w:tc>
          <w:tcPr>
            <w:tcW w:w="957" w:type="dxa"/>
            <w:gridSpan w:val="4"/>
            <w:tcBorders>
              <w:top w:val="single" w:color="auto" w:sz="6" w:space="0"/>
              <w:left w:val="single" w:color="auto" w:sz="4" w:space="0"/>
              <w:bottom w:val="single" w:color="auto" w:sz="4" w:space="0"/>
              <w:right w:val="single" w:color="auto" w:sz="6" w:space="0"/>
            </w:tcBorders>
            <w:shd w:val="clear" w:color="auto" w:fill="FFFFFF"/>
            <w:noWrap w:val="0"/>
            <w:vAlign w:val="center"/>
          </w:tcPr>
          <w:p w14:paraId="7F4C8EF8">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r>
      <w:tr w14:paraId="1792917D">
        <w:tblPrEx>
          <w:tblCellMar>
            <w:top w:w="0" w:type="dxa"/>
            <w:left w:w="0" w:type="dxa"/>
            <w:bottom w:w="0" w:type="dxa"/>
            <w:right w:w="0" w:type="dxa"/>
          </w:tblCellMar>
        </w:tblPrEx>
        <w:trPr>
          <w:trHeight w:val="651" w:hRule="atLeast"/>
          <w:tblCellSpacing w:w="7" w:type="dxa"/>
          <w:jc w:val="center"/>
        </w:trPr>
        <w:tc>
          <w:tcPr>
            <w:tcW w:w="1140" w:type="dxa"/>
            <w:vMerge w:val="continue"/>
            <w:tcBorders>
              <w:left w:val="single" w:color="auto" w:sz="6" w:space="0"/>
              <w:bottom w:val="single" w:color="auto" w:sz="4" w:space="0"/>
              <w:right w:val="single" w:color="auto" w:sz="4" w:space="0"/>
            </w:tcBorders>
            <w:shd w:val="clear" w:color="auto" w:fill="FFFFFF"/>
            <w:noWrap w:val="0"/>
            <w:vAlign w:val="center"/>
          </w:tcPr>
          <w:p w14:paraId="0226C54E">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c>
          <w:tcPr>
            <w:tcW w:w="1801" w:type="dxa"/>
            <w:vMerge w:val="continue"/>
            <w:tcBorders>
              <w:left w:val="single" w:color="auto" w:sz="6" w:space="0"/>
              <w:bottom w:val="single" w:color="auto" w:sz="4" w:space="0"/>
              <w:right w:val="single" w:color="auto" w:sz="4" w:space="0"/>
            </w:tcBorders>
            <w:shd w:val="clear" w:color="auto" w:fill="FFFFFF"/>
            <w:noWrap w:val="0"/>
            <w:vAlign w:val="center"/>
          </w:tcPr>
          <w:p w14:paraId="23D4DEB6">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c>
          <w:tcPr>
            <w:tcW w:w="5490" w:type="dxa"/>
            <w:tcBorders>
              <w:top w:val="single" w:color="auto" w:sz="6" w:space="0"/>
              <w:left w:val="nil"/>
              <w:bottom w:val="single" w:color="auto" w:sz="4" w:space="0"/>
              <w:right w:val="single" w:color="auto" w:sz="4" w:space="0"/>
            </w:tcBorders>
            <w:shd w:val="clear" w:color="auto" w:fill="FFFFFF"/>
            <w:noWrap w:val="0"/>
            <w:vAlign w:val="center"/>
          </w:tcPr>
          <w:p w14:paraId="4222A534">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外形尺寸(L*W*H)mm：2500*1050*1300</w:t>
            </w:r>
          </w:p>
        </w:tc>
        <w:tc>
          <w:tcPr>
            <w:tcW w:w="957" w:type="dxa"/>
            <w:gridSpan w:val="4"/>
            <w:tcBorders>
              <w:top w:val="single" w:color="auto" w:sz="6" w:space="0"/>
              <w:left w:val="single" w:color="auto" w:sz="4" w:space="0"/>
              <w:bottom w:val="single" w:color="auto" w:sz="4" w:space="0"/>
              <w:right w:val="single" w:color="auto" w:sz="6" w:space="0"/>
            </w:tcBorders>
            <w:shd w:val="clear" w:color="auto" w:fill="FFFFFF"/>
            <w:noWrap w:val="0"/>
            <w:vAlign w:val="center"/>
          </w:tcPr>
          <w:p w14:paraId="4F9F8FCA">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r>
      <w:tr w14:paraId="60FBC785">
        <w:tblPrEx>
          <w:shd w:val="clear" w:color="auto" w:fill="CCCCCC"/>
          <w:tblCellMar>
            <w:top w:w="0" w:type="dxa"/>
            <w:left w:w="0" w:type="dxa"/>
            <w:bottom w:w="0" w:type="dxa"/>
            <w:right w:w="0" w:type="dxa"/>
          </w:tblCellMar>
        </w:tblPrEx>
        <w:trPr>
          <w:gridAfter w:val="2"/>
          <w:wAfter w:w="0" w:type="dxa"/>
          <w:trHeight w:val="642" w:hRule="atLeast"/>
          <w:tblCellSpacing w:w="7" w:type="dxa"/>
          <w:jc w:val="center"/>
        </w:trPr>
        <w:tc>
          <w:tcPr>
            <w:tcW w:w="1140" w:type="dxa"/>
            <w:vMerge w:val="restart"/>
            <w:tcBorders>
              <w:top w:val="single" w:color="auto" w:sz="6" w:space="0"/>
              <w:left w:val="single" w:color="auto" w:sz="6" w:space="0"/>
              <w:right w:val="single" w:color="auto" w:sz="4" w:space="0"/>
            </w:tcBorders>
            <w:shd w:val="clear" w:color="auto" w:fill="FFFFFF"/>
            <w:noWrap w:val="0"/>
            <w:vAlign w:val="center"/>
          </w:tcPr>
          <w:p w14:paraId="741091C8">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01" w:type="dxa"/>
            <w:vMerge w:val="restart"/>
            <w:tcBorders>
              <w:top w:val="single" w:color="auto" w:sz="6" w:space="0"/>
              <w:left w:val="single" w:color="auto" w:sz="6" w:space="0"/>
              <w:right w:val="single" w:color="auto" w:sz="4" w:space="0"/>
            </w:tcBorders>
            <w:shd w:val="clear" w:color="auto" w:fill="FFFFFF"/>
            <w:noWrap w:val="0"/>
            <w:vAlign w:val="center"/>
          </w:tcPr>
          <w:p w14:paraId="46A48891">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吸风机</w:t>
            </w:r>
          </w:p>
        </w:tc>
        <w:tc>
          <w:tcPr>
            <w:tcW w:w="5504" w:type="dxa"/>
            <w:gridSpan w:val="2"/>
            <w:tcBorders>
              <w:top w:val="single" w:color="auto" w:sz="6" w:space="0"/>
              <w:left w:val="nil"/>
              <w:bottom w:val="nil"/>
              <w:right w:val="single" w:color="auto" w:sz="4" w:space="0"/>
            </w:tcBorders>
            <w:shd w:val="clear" w:color="auto" w:fill="FFFFFF"/>
            <w:noWrap w:val="0"/>
            <w:vAlign w:val="center"/>
          </w:tcPr>
          <w:p w14:paraId="4C53915E">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型号：4-72-6A  5.5KW</w:t>
            </w:r>
          </w:p>
        </w:tc>
        <w:tc>
          <w:tcPr>
            <w:tcW w:w="928" w:type="dxa"/>
            <w:tcBorders>
              <w:top w:val="single" w:color="auto" w:sz="6" w:space="0"/>
              <w:left w:val="single" w:color="auto" w:sz="4" w:space="0"/>
              <w:bottom w:val="nil"/>
              <w:right w:val="single" w:color="auto" w:sz="6" w:space="0"/>
            </w:tcBorders>
            <w:shd w:val="clear" w:color="auto" w:fill="FFFFFF"/>
            <w:noWrap w:val="0"/>
            <w:vAlign w:val="center"/>
          </w:tcPr>
          <w:p w14:paraId="4CCBCAF5">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r>
      <w:tr w14:paraId="7999DED7">
        <w:tblPrEx>
          <w:tblCellMar>
            <w:top w:w="0" w:type="dxa"/>
            <w:left w:w="0" w:type="dxa"/>
            <w:bottom w:w="0" w:type="dxa"/>
            <w:right w:w="0" w:type="dxa"/>
          </w:tblCellMar>
        </w:tblPrEx>
        <w:trPr>
          <w:gridAfter w:val="2"/>
          <w:wAfter w:w="0" w:type="dxa"/>
          <w:trHeight w:val="642" w:hRule="atLeast"/>
          <w:tblCellSpacing w:w="7" w:type="dxa"/>
          <w:jc w:val="center"/>
        </w:trPr>
        <w:tc>
          <w:tcPr>
            <w:tcW w:w="1140" w:type="dxa"/>
            <w:vMerge w:val="continue"/>
            <w:tcBorders>
              <w:left w:val="single" w:color="auto" w:sz="6" w:space="0"/>
              <w:right w:val="single" w:color="auto" w:sz="4" w:space="0"/>
            </w:tcBorders>
            <w:shd w:val="clear" w:color="auto" w:fill="FFFFFF"/>
            <w:noWrap w:val="0"/>
            <w:vAlign w:val="center"/>
          </w:tcPr>
          <w:p w14:paraId="2D3E5D5D">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c>
          <w:tcPr>
            <w:tcW w:w="1801" w:type="dxa"/>
            <w:vMerge w:val="continue"/>
            <w:tcBorders>
              <w:left w:val="single" w:color="auto" w:sz="6" w:space="0"/>
              <w:right w:val="single" w:color="auto" w:sz="4" w:space="0"/>
            </w:tcBorders>
            <w:shd w:val="clear" w:color="auto" w:fill="FFFFFF"/>
            <w:noWrap w:val="0"/>
            <w:vAlign w:val="center"/>
          </w:tcPr>
          <w:p w14:paraId="2BDFBFB4">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c>
          <w:tcPr>
            <w:tcW w:w="5504" w:type="dxa"/>
            <w:gridSpan w:val="2"/>
            <w:tcBorders>
              <w:top w:val="single" w:color="auto" w:sz="6" w:space="0"/>
              <w:left w:val="nil"/>
              <w:bottom w:val="nil"/>
              <w:right w:val="single" w:color="auto" w:sz="4" w:space="0"/>
            </w:tcBorders>
            <w:shd w:val="clear" w:color="auto" w:fill="FFFFFF"/>
            <w:noWrap w:val="0"/>
            <w:vAlign w:val="center"/>
          </w:tcPr>
          <w:p w14:paraId="766CBA20">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风量：12000m³/h</w:t>
            </w:r>
          </w:p>
        </w:tc>
        <w:tc>
          <w:tcPr>
            <w:tcW w:w="928" w:type="dxa"/>
            <w:tcBorders>
              <w:top w:val="single" w:color="auto" w:sz="6" w:space="0"/>
              <w:left w:val="single" w:color="auto" w:sz="4" w:space="0"/>
              <w:bottom w:val="nil"/>
              <w:right w:val="single" w:color="auto" w:sz="6" w:space="0"/>
            </w:tcBorders>
            <w:shd w:val="clear" w:color="auto" w:fill="FFFFFF"/>
            <w:noWrap w:val="0"/>
            <w:vAlign w:val="center"/>
          </w:tcPr>
          <w:p w14:paraId="28128268">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r>
      <w:tr w14:paraId="6B9D78DB">
        <w:tblPrEx>
          <w:tblCellMar>
            <w:top w:w="0" w:type="dxa"/>
            <w:left w:w="0" w:type="dxa"/>
            <w:bottom w:w="0" w:type="dxa"/>
            <w:right w:w="0" w:type="dxa"/>
          </w:tblCellMar>
        </w:tblPrEx>
        <w:trPr>
          <w:gridAfter w:val="2"/>
          <w:wAfter w:w="0" w:type="dxa"/>
          <w:trHeight w:val="642" w:hRule="atLeast"/>
          <w:tblCellSpacing w:w="7" w:type="dxa"/>
          <w:jc w:val="center"/>
        </w:trPr>
        <w:tc>
          <w:tcPr>
            <w:tcW w:w="1140" w:type="dxa"/>
            <w:vMerge w:val="continue"/>
            <w:tcBorders>
              <w:left w:val="single" w:color="auto" w:sz="6" w:space="0"/>
              <w:bottom w:val="nil"/>
              <w:right w:val="single" w:color="auto" w:sz="4" w:space="0"/>
            </w:tcBorders>
            <w:shd w:val="clear" w:color="auto" w:fill="FFFFFF"/>
            <w:noWrap w:val="0"/>
            <w:vAlign w:val="center"/>
          </w:tcPr>
          <w:p w14:paraId="64CF69D9">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c>
          <w:tcPr>
            <w:tcW w:w="1801" w:type="dxa"/>
            <w:vMerge w:val="continue"/>
            <w:tcBorders>
              <w:left w:val="single" w:color="auto" w:sz="6" w:space="0"/>
              <w:bottom w:val="nil"/>
              <w:right w:val="single" w:color="auto" w:sz="4" w:space="0"/>
            </w:tcBorders>
            <w:shd w:val="clear" w:color="auto" w:fill="FFFFFF"/>
            <w:noWrap w:val="0"/>
            <w:vAlign w:val="center"/>
          </w:tcPr>
          <w:p w14:paraId="6152981B">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c>
          <w:tcPr>
            <w:tcW w:w="5504" w:type="dxa"/>
            <w:gridSpan w:val="2"/>
            <w:tcBorders>
              <w:top w:val="single" w:color="auto" w:sz="6" w:space="0"/>
              <w:left w:val="nil"/>
              <w:bottom w:val="nil"/>
              <w:right w:val="single" w:color="auto" w:sz="4" w:space="0"/>
            </w:tcBorders>
            <w:shd w:val="clear" w:color="auto" w:fill="FFFFFF"/>
            <w:noWrap w:val="0"/>
            <w:vAlign w:val="center"/>
          </w:tcPr>
          <w:p w14:paraId="50C6514F">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风压：1150pa</w:t>
            </w:r>
          </w:p>
        </w:tc>
        <w:tc>
          <w:tcPr>
            <w:tcW w:w="928" w:type="dxa"/>
            <w:tcBorders>
              <w:top w:val="single" w:color="auto" w:sz="6" w:space="0"/>
              <w:left w:val="single" w:color="auto" w:sz="4" w:space="0"/>
              <w:bottom w:val="nil"/>
              <w:right w:val="single" w:color="auto" w:sz="6" w:space="0"/>
            </w:tcBorders>
            <w:shd w:val="clear" w:color="auto" w:fill="FFFFFF"/>
            <w:noWrap w:val="0"/>
            <w:vAlign w:val="center"/>
          </w:tcPr>
          <w:p w14:paraId="6E39823A">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r>
      <w:tr w14:paraId="6A401DCF">
        <w:tblPrEx>
          <w:tblCellMar>
            <w:top w:w="0" w:type="dxa"/>
            <w:left w:w="0" w:type="dxa"/>
            <w:bottom w:w="0" w:type="dxa"/>
            <w:right w:w="0" w:type="dxa"/>
          </w:tblCellMar>
        </w:tblPrEx>
        <w:trPr>
          <w:gridAfter w:val="2"/>
          <w:wAfter w:w="0" w:type="dxa"/>
          <w:trHeight w:val="647" w:hRule="atLeast"/>
          <w:tblCellSpacing w:w="7" w:type="dxa"/>
          <w:jc w:val="center"/>
        </w:trPr>
        <w:tc>
          <w:tcPr>
            <w:tcW w:w="1140" w:type="dxa"/>
            <w:vMerge w:val="restart"/>
            <w:tcBorders>
              <w:top w:val="single" w:color="auto" w:sz="4" w:space="0"/>
              <w:left w:val="single" w:color="auto" w:sz="6" w:space="0"/>
              <w:right w:val="single" w:color="auto" w:sz="4" w:space="0"/>
            </w:tcBorders>
            <w:shd w:val="clear" w:color="auto" w:fill="FFFFFF"/>
            <w:noWrap w:val="0"/>
            <w:vAlign w:val="center"/>
          </w:tcPr>
          <w:p w14:paraId="12F2FF83">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801" w:type="dxa"/>
            <w:vMerge w:val="restart"/>
            <w:tcBorders>
              <w:top w:val="single" w:color="auto" w:sz="4" w:space="0"/>
              <w:left w:val="single" w:color="auto" w:sz="6" w:space="0"/>
              <w:right w:val="single" w:color="auto" w:sz="4" w:space="0"/>
            </w:tcBorders>
            <w:shd w:val="clear" w:color="auto" w:fill="FFFFFF"/>
            <w:noWrap w:val="0"/>
            <w:vAlign w:val="center"/>
          </w:tcPr>
          <w:p w14:paraId="5BEDCB7E">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排气筒</w:t>
            </w:r>
          </w:p>
        </w:tc>
        <w:tc>
          <w:tcPr>
            <w:tcW w:w="5504" w:type="dxa"/>
            <w:gridSpan w:val="2"/>
            <w:tcBorders>
              <w:top w:val="single" w:color="auto" w:sz="4" w:space="0"/>
              <w:left w:val="nil"/>
              <w:bottom w:val="single" w:color="auto" w:sz="4" w:space="0"/>
              <w:right w:val="single" w:color="auto" w:sz="4" w:space="0"/>
            </w:tcBorders>
            <w:shd w:val="clear" w:color="auto" w:fill="FFFFFF"/>
            <w:noWrap w:val="0"/>
            <w:vAlign w:val="center"/>
          </w:tcPr>
          <w:p w14:paraId="29A4E793">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直径：500mm，镀锌螺旋焊管</w:t>
            </w:r>
          </w:p>
        </w:tc>
        <w:tc>
          <w:tcPr>
            <w:tcW w:w="928" w:type="dxa"/>
            <w:tcBorders>
              <w:top w:val="single" w:color="auto" w:sz="4" w:space="0"/>
              <w:left w:val="single" w:color="auto" w:sz="4" w:space="0"/>
              <w:bottom w:val="single" w:color="auto" w:sz="4" w:space="0"/>
              <w:right w:val="single" w:color="auto" w:sz="6" w:space="0"/>
            </w:tcBorders>
            <w:shd w:val="clear" w:color="auto" w:fill="FFFFFF"/>
            <w:noWrap w:val="0"/>
            <w:vAlign w:val="center"/>
          </w:tcPr>
          <w:p w14:paraId="025943D8">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r>
      <w:tr w14:paraId="76DEF152">
        <w:tblPrEx>
          <w:tblCellMar>
            <w:top w:w="0" w:type="dxa"/>
            <w:left w:w="0" w:type="dxa"/>
            <w:bottom w:w="0" w:type="dxa"/>
            <w:right w:w="0" w:type="dxa"/>
          </w:tblCellMar>
        </w:tblPrEx>
        <w:trPr>
          <w:gridAfter w:val="2"/>
          <w:wAfter w:w="0" w:type="dxa"/>
          <w:trHeight w:val="647" w:hRule="atLeast"/>
          <w:tblCellSpacing w:w="7" w:type="dxa"/>
          <w:jc w:val="center"/>
        </w:trPr>
        <w:tc>
          <w:tcPr>
            <w:tcW w:w="1140" w:type="dxa"/>
            <w:vMerge w:val="continue"/>
            <w:tcBorders>
              <w:left w:val="single" w:color="auto" w:sz="6" w:space="0"/>
              <w:bottom w:val="single" w:color="auto" w:sz="4" w:space="0"/>
              <w:right w:val="single" w:color="auto" w:sz="4" w:space="0"/>
            </w:tcBorders>
            <w:shd w:val="clear" w:color="auto" w:fill="FFFFFF"/>
            <w:noWrap w:val="0"/>
            <w:vAlign w:val="center"/>
          </w:tcPr>
          <w:p w14:paraId="2F672474">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c>
          <w:tcPr>
            <w:tcW w:w="1801" w:type="dxa"/>
            <w:vMerge w:val="continue"/>
            <w:tcBorders>
              <w:left w:val="single" w:color="auto" w:sz="6" w:space="0"/>
              <w:bottom w:val="single" w:color="auto" w:sz="4" w:space="0"/>
              <w:right w:val="single" w:color="auto" w:sz="4" w:space="0"/>
            </w:tcBorders>
            <w:shd w:val="clear" w:color="auto" w:fill="FFFFFF"/>
            <w:noWrap w:val="0"/>
            <w:vAlign w:val="center"/>
          </w:tcPr>
          <w:p w14:paraId="76890395">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c>
          <w:tcPr>
            <w:tcW w:w="5504" w:type="dxa"/>
            <w:gridSpan w:val="2"/>
            <w:tcBorders>
              <w:top w:val="single" w:color="auto" w:sz="4" w:space="0"/>
              <w:left w:val="nil"/>
              <w:bottom w:val="single" w:color="auto" w:sz="4" w:space="0"/>
              <w:right w:val="single" w:color="auto" w:sz="4" w:space="0"/>
            </w:tcBorders>
            <w:shd w:val="clear" w:color="auto" w:fill="FFFFFF"/>
            <w:noWrap w:val="0"/>
            <w:vAlign w:val="center"/>
          </w:tcPr>
          <w:p w14:paraId="46285F6E">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排放高度：15米</w:t>
            </w:r>
          </w:p>
        </w:tc>
        <w:tc>
          <w:tcPr>
            <w:tcW w:w="928" w:type="dxa"/>
            <w:tcBorders>
              <w:top w:val="single" w:color="auto" w:sz="4" w:space="0"/>
              <w:left w:val="single" w:color="auto" w:sz="4" w:space="0"/>
              <w:bottom w:val="single" w:color="auto" w:sz="4" w:space="0"/>
              <w:right w:val="single" w:color="auto" w:sz="6" w:space="0"/>
            </w:tcBorders>
            <w:shd w:val="clear" w:color="auto" w:fill="FFFFFF"/>
            <w:noWrap w:val="0"/>
            <w:vAlign w:val="center"/>
          </w:tcPr>
          <w:p w14:paraId="71E92EB8">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r>
      <w:tr w14:paraId="77E1FC7C">
        <w:tblPrEx>
          <w:shd w:val="clear" w:color="auto" w:fill="CCCCCC"/>
          <w:tblCellMar>
            <w:top w:w="0" w:type="dxa"/>
            <w:left w:w="0" w:type="dxa"/>
            <w:bottom w:w="0" w:type="dxa"/>
            <w:right w:w="0" w:type="dxa"/>
          </w:tblCellMar>
        </w:tblPrEx>
        <w:trPr>
          <w:gridAfter w:val="2"/>
          <w:wAfter w:w="0" w:type="dxa"/>
          <w:trHeight w:val="653" w:hRule="atLeast"/>
          <w:tblCellSpacing w:w="7" w:type="dxa"/>
          <w:jc w:val="center"/>
        </w:trPr>
        <w:tc>
          <w:tcPr>
            <w:tcW w:w="1140" w:type="dxa"/>
            <w:tcBorders>
              <w:top w:val="single" w:color="auto" w:sz="4" w:space="0"/>
              <w:left w:val="single" w:color="auto" w:sz="6" w:space="0"/>
              <w:bottom w:val="single" w:color="auto" w:sz="4" w:space="0"/>
              <w:right w:val="single" w:color="auto" w:sz="4" w:space="0"/>
            </w:tcBorders>
            <w:shd w:val="clear" w:color="auto" w:fill="FFFFFF"/>
            <w:noWrap w:val="0"/>
            <w:vAlign w:val="center"/>
          </w:tcPr>
          <w:p w14:paraId="6AD5A238">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801" w:type="dxa"/>
            <w:tcBorders>
              <w:top w:val="single" w:color="auto" w:sz="4" w:space="0"/>
              <w:left w:val="single" w:color="auto" w:sz="6" w:space="0"/>
              <w:bottom w:val="single" w:color="auto" w:sz="4" w:space="0"/>
              <w:right w:val="single" w:color="auto" w:sz="4" w:space="0"/>
            </w:tcBorders>
            <w:shd w:val="clear" w:color="auto" w:fill="FFFFFF"/>
            <w:noWrap w:val="0"/>
            <w:vAlign w:val="center"/>
          </w:tcPr>
          <w:p w14:paraId="4DA956AA">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控制柜</w:t>
            </w:r>
          </w:p>
        </w:tc>
        <w:tc>
          <w:tcPr>
            <w:tcW w:w="5504" w:type="dxa"/>
            <w:gridSpan w:val="2"/>
            <w:tcBorders>
              <w:top w:val="single" w:color="auto" w:sz="4" w:space="0"/>
              <w:left w:val="nil"/>
              <w:bottom w:val="single" w:color="auto" w:sz="4" w:space="0"/>
              <w:right w:val="single" w:color="auto" w:sz="4" w:space="0"/>
            </w:tcBorders>
            <w:shd w:val="clear" w:color="auto" w:fill="FFFFFF"/>
            <w:noWrap w:val="0"/>
            <w:vAlign w:val="center"/>
          </w:tcPr>
          <w:p w14:paraId="139AB2E9">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电器元件:正泰</w:t>
            </w:r>
          </w:p>
        </w:tc>
        <w:tc>
          <w:tcPr>
            <w:tcW w:w="928" w:type="dxa"/>
            <w:tcBorders>
              <w:top w:val="single" w:color="auto" w:sz="4" w:space="0"/>
              <w:left w:val="single" w:color="auto" w:sz="4" w:space="0"/>
              <w:bottom w:val="single" w:color="auto" w:sz="4" w:space="0"/>
              <w:right w:val="single" w:color="auto" w:sz="6" w:space="0"/>
            </w:tcBorders>
            <w:shd w:val="clear" w:color="auto" w:fill="FFFFFF"/>
            <w:noWrap w:val="0"/>
            <w:vAlign w:val="center"/>
          </w:tcPr>
          <w:p w14:paraId="321DF4A8">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sz w:val="24"/>
                <w:szCs w:val="24"/>
                <w:lang w:val="en-US" w:eastAsia="zh-CN"/>
              </w:rPr>
            </w:pPr>
          </w:p>
        </w:tc>
      </w:tr>
    </w:tbl>
    <w:p w14:paraId="4DCE8DC5">
      <w:pPr>
        <w:pStyle w:val="4"/>
        <w:keepNext w:val="0"/>
        <w:keepLines w:val="0"/>
        <w:pageBreakBefore w:val="0"/>
        <w:kinsoku/>
        <w:wordWrap/>
        <w:overflowPunct/>
        <w:topLinePunct w:val="0"/>
        <w:autoSpaceDE/>
        <w:autoSpaceDN/>
        <w:bidi w:val="0"/>
        <w:snapToGrid/>
        <w:spacing w:before="0" w:after="0" w:line="520" w:lineRule="exact"/>
        <w:outlineLvl w:val="0"/>
        <w:rPr>
          <w:rFonts w:hint="eastAsia" w:ascii="宋体" w:hAnsi="宋体" w:eastAsia="宋体" w:cs="宋体"/>
          <w:b/>
          <w:bCs/>
          <w:sz w:val="28"/>
          <w:szCs w:val="28"/>
          <w:lang w:val="en-US" w:eastAsia="zh-CN"/>
        </w:rPr>
      </w:pPr>
    </w:p>
    <w:p w14:paraId="0FB4CBA2">
      <w:pPr>
        <w:pStyle w:val="4"/>
        <w:keepNext w:val="0"/>
        <w:keepLines w:val="0"/>
        <w:pageBreakBefore w:val="0"/>
        <w:kinsoku/>
        <w:wordWrap/>
        <w:overflowPunct/>
        <w:topLinePunct w:val="0"/>
        <w:autoSpaceDE/>
        <w:autoSpaceDN/>
        <w:bidi w:val="0"/>
        <w:snapToGrid/>
        <w:spacing w:before="0" w:after="0" w:line="520" w:lineRule="exact"/>
        <w:ind w:left="0" w:leftChars="0" w:firstLine="562" w:firstLineChars="200"/>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1.1.3主要设备及材料汇总</w:t>
      </w:r>
    </w:p>
    <w:tbl>
      <w:tblPr>
        <w:tblStyle w:val="6"/>
        <w:tblW w:w="94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0"/>
        <w:gridCol w:w="2149"/>
        <w:gridCol w:w="3358"/>
        <w:gridCol w:w="885"/>
        <w:gridCol w:w="915"/>
        <w:gridCol w:w="1221"/>
      </w:tblGrid>
      <w:tr w14:paraId="76F6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3A5D8033">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sz w:val="24"/>
                <w:szCs w:val="24"/>
                <w:u w:val="none"/>
              </w:rPr>
            </w:pPr>
            <w:bookmarkStart w:id="2" w:name="_GoBack"/>
            <w:r>
              <w:rPr>
                <w:rFonts w:hint="eastAsia" w:ascii="宋体" w:hAnsi="宋体" w:eastAsia="宋体" w:cs="宋体"/>
                <w:b/>
                <w:bCs/>
                <w:i w:val="0"/>
                <w:iCs w:val="0"/>
                <w:color w:val="000000"/>
                <w:kern w:val="0"/>
                <w:sz w:val="24"/>
                <w:szCs w:val="24"/>
                <w:u w:val="none"/>
                <w:lang w:val="en-US" w:eastAsia="zh-CN" w:bidi="ar"/>
              </w:rPr>
              <w:t>序号</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75F94826">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3BA9DB43">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规格型号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6E29C8">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B70A9B">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68E4B34">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249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tcBorders>
              <w:top w:val="single" w:color="000000" w:sz="4" w:space="0"/>
              <w:left w:val="single" w:color="000000" w:sz="4" w:space="0"/>
              <w:bottom w:val="nil"/>
              <w:right w:val="single" w:color="000000" w:sz="4" w:space="0"/>
            </w:tcBorders>
            <w:noWrap w:val="0"/>
            <w:vAlign w:val="center"/>
          </w:tcPr>
          <w:p w14:paraId="17E15A6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62E5862A">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废水池集气罩</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384AA87A">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19000×7000×1300mm</w:t>
            </w:r>
          </w:p>
          <w:p w14:paraId="48D3EFB5">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框架40×80镀锌方管焊接透明阳光板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04A8D2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DD548E8">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B1EFD0E">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A6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tcBorders>
              <w:top w:val="single" w:color="000000" w:sz="4" w:space="0"/>
              <w:left w:val="single" w:color="000000" w:sz="4" w:space="0"/>
              <w:bottom w:val="nil"/>
              <w:right w:val="single" w:color="000000" w:sz="4" w:space="0"/>
            </w:tcBorders>
            <w:noWrap w:val="0"/>
            <w:vAlign w:val="center"/>
          </w:tcPr>
          <w:p w14:paraId="680C88C6">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6F033F27">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活性炭吸附箱</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74A01815">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尺寸2500×1050×1300mm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394587">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369DB3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49A0776">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p>
        </w:tc>
      </w:tr>
      <w:tr w14:paraId="307A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tcBorders>
              <w:top w:val="single" w:color="000000" w:sz="4" w:space="0"/>
              <w:left w:val="single" w:color="000000" w:sz="4" w:space="0"/>
              <w:bottom w:val="nil"/>
              <w:right w:val="single" w:color="000000" w:sz="4" w:space="0"/>
            </w:tcBorders>
            <w:noWrap w:val="0"/>
            <w:vAlign w:val="center"/>
          </w:tcPr>
          <w:p w14:paraId="5254880F">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2BD5C2BC">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蜂窝活性炭</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2754BA61">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100×100×100mm</w:t>
            </w:r>
          </w:p>
          <w:p w14:paraId="408A24F7">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600碘值防水</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914B801">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m³</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5923F95">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661821B">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BA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tcBorders>
              <w:top w:val="single" w:color="000000" w:sz="4" w:space="0"/>
              <w:left w:val="single" w:color="000000" w:sz="4" w:space="0"/>
              <w:bottom w:val="nil"/>
              <w:right w:val="single" w:color="000000" w:sz="4" w:space="0"/>
            </w:tcBorders>
            <w:noWrap w:val="0"/>
            <w:vAlign w:val="center"/>
          </w:tcPr>
          <w:p w14:paraId="35A85B2A">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4E6AB8C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吸附风机</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2FBC909F">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4-72-6A；功率5.5KW；</w:t>
            </w:r>
          </w:p>
          <w:p w14:paraId="35BD1B46">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风量12000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50615AA">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4E20384">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0970C63">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F3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tcBorders>
              <w:top w:val="single" w:color="000000" w:sz="4" w:space="0"/>
              <w:left w:val="single" w:color="000000" w:sz="4" w:space="0"/>
              <w:bottom w:val="nil"/>
              <w:right w:val="single" w:color="000000" w:sz="4" w:space="0"/>
            </w:tcBorders>
            <w:noWrap w:val="0"/>
            <w:vAlign w:val="center"/>
          </w:tcPr>
          <w:p w14:paraId="6CE58BBF">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7D7E2C7C">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排气筒</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5528827F">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Φ500</w:t>
            </w:r>
          </w:p>
          <w:p w14:paraId="13FEF960">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0.6mm镀锌螺旋焊管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C41768">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BE4FE5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3CAD39D">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p>
        </w:tc>
      </w:tr>
      <w:tr w14:paraId="4286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tcBorders>
              <w:top w:val="single" w:color="000000" w:sz="4" w:space="0"/>
              <w:left w:val="single" w:color="000000" w:sz="4" w:space="0"/>
              <w:bottom w:val="nil"/>
              <w:right w:val="single" w:color="000000" w:sz="4" w:space="0"/>
            </w:tcBorders>
            <w:noWrap w:val="0"/>
            <w:vAlign w:val="center"/>
          </w:tcPr>
          <w:p w14:paraId="306FF7ED">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115E97D5">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15B750BA">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电器元件:正泰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A0CF05">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BD0B8A6">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FBCB6ED">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p>
        </w:tc>
      </w:tr>
      <w:tr w14:paraId="6613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1DD62E">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0B9CF984">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支管趴口</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0462926D">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主管道对接趴口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E6E2EB">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C208C63">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20EFB7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p>
        </w:tc>
      </w:tr>
      <w:tr w14:paraId="0577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AA7CA">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i w:val="0"/>
                <w:iCs w:val="0"/>
                <w:color w:val="000000"/>
                <w:sz w:val="24"/>
                <w:szCs w:val="24"/>
                <w:u w:val="none"/>
              </w:rPr>
            </w:pP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736597F0">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连接弯头</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3D769050">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500mm 0.8mm镀锌板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B58FC4">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7C63A48">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4AEF7A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p>
        </w:tc>
      </w:tr>
      <w:tr w14:paraId="3164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tcBorders>
              <w:top w:val="nil"/>
              <w:left w:val="single" w:color="000000" w:sz="4" w:space="0"/>
              <w:bottom w:val="single" w:color="000000" w:sz="4" w:space="0"/>
              <w:right w:val="single" w:color="000000" w:sz="4" w:space="0"/>
            </w:tcBorders>
            <w:noWrap w:val="0"/>
            <w:vAlign w:val="center"/>
          </w:tcPr>
          <w:p w14:paraId="1516FC1F">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60065B98">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连接管道 管件</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4EEB5BBB">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弯头管道200-500mm0.6mm镀锌螺旋管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6408255">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305381C">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ECEA094">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p>
        </w:tc>
      </w:tr>
      <w:tr w14:paraId="653F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tcBorders>
              <w:top w:val="nil"/>
              <w:left w:val="single" w:color="000000" w:sz="4" w:space="0"/>
              <w:bottom w:val="single" w:color="000000" w:sz="4" w:space="0"/>
              <w:right w:val="single" w:color="000000" w:sz="4" w:space="0"/>
            </w:tcBorders>
            <w:noWrap w:val="0"/>
            <w:vAlign w:val="center"/>
          </w:tcPr>
          <w:p w14:paraId="300A710B">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013B28E7">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监测采样口设置</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740043DB">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83D424">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47D1E65">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A85CB3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p>
        </w:tc>
      </w:tr>
      <w:tr w14:paraId="761D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tcBorders>
              <w:top w:val="nil"/>
              <w:left w:val="single" w:color="000000" w:sz="4" w:space="0"/>
              <w:bottom w:val="single" w:color="000000" w:sz="4" w:space="0"/>
              <w:right w:val="single" w:color="000000" w:sz="4" w:space="0"/>
            </w:tcBorders>
            <w:noWrap w:val="0"/>
            <w:vAlign w:val="center"/>
          </w:tcPr>
          <w:p w14:paraId="1580A067">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1276567E">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人行斜梯搭建</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670C22AF">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3129B0">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座</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4CFE60D">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F745CC8">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p>
        </w:tc>
      </w:tr>
      <w:tr w14:paraId="6FED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90" w:type="dxa"/>
            <w:tcBorders>
              <w:top w:val="nil"/>
              <w:left w:val="single" w:color="000000" w:sz="4" w:space="0"/>
              <w:bottom w:val="single" w:color="000000" w:sz="4" w:space="0"/>
              <w:right w:val="single" w:color="000000" w:sz="4" w:space="0"/>
            </w:tcBorders>
            <w:noWrap w:val="0"/>
            <w:vAlign w:val="center"/>
          </w:tcPr>
          <w:p w14:paraId="7C682B2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14:paraId="63294723">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施工配件</w:t>
            </w: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3C327CB5">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铆钉、螺丝、密封胶、焊条、角铁等</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D7B366">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18DE5FD">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61BC0ED">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iCs w:val="0"/>
                <w:color w:val="000000"/>
                <w:sz w:val="24"/>
                <w:szCs w:val="24"/>
                <w:u w:val="none"/>
              </w:rPr>
            </w:pPr>
          </w:p>
        </w:tc>
      </w:tr>
      <w:bookmarkEnd w:id="2"/>
    </w:tbl>
    <w:p w14:paraId="40EECF94">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1.2</w:t>
      </w:r>
      <w:r>
        <w:rPr>
          <w:rFonts w:hint="eastAsia" w:ascii="宋体" w:hAnsi="宋体" w:eastAsia="宋体" w:cs="宋体"/>
          <w:color w:val="auto"/>
          <w:sz w:val="28"/>
          <w:szCs w:val="28"/>
          <w:lang w:val="en-US" w:eastAsia="zh-CN"/>
        </w:rPr>
        <w:t>按照采样规范排，在排气管合适高度、规范设置检测取样口，并设置采样平台与人行斜梯。</w:t>
      </w:r>
    </w:p>
    <w:p w14:paraId="5D5E4208">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1.2.1手工监测采样口设置：</w:t>
      </w:r>
    </w:p>
    <w:p w14:paraId="4853F6EE">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1.2.1.1采样口位置：应优先选择在垂直管段，避开烟道弯头和断面急剧变化的部位，具体应设置在距弯头、阀门、变径管下游不小于6倍直径，和距上述部件上游方向不小于3倍直径处(对矩形烟道，取其当量直径，当量直径的计算方法D-2AB/(A+B)，A、B是矩形烟道的边长)。</w:t>
      </w:r>
    </w:p>
    <w:p w14:paraId="512D70F0">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1.2.1.2采样孔的尺寸：采样孔的内径应不小于80mm，采样孔管长应不大于50mm。不使用时应用盖板、管堵或管帽封闭。</w:t>
      </w:r>
    </w:p>
    <w:p w14:paraId="18818B04">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1.2.1.3采样孔数量：设1个采样孔。</w:t>
      </w:r>
    </w:p>
    <w:p w14:paraId="3296B4C0">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1.2.2.采样平台及斜梯搭建：</w:t>
      </w:r>
    </w:p>
    <w:p w14:paraId="67E2009D">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1.2.2.1平台面积应不小于1.5㎡，并设有1.2m高的护栏和不低于10cm的脚部挡板，采样平台的承重应不小于200kg/㎡，采样平台面距采样孔约为1.2-1.3m。</w:t>
      </w:r>
    </w:p>
    <w:p w14:paraId="33B81412">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1.2.2.2设有通往平台的斜梯。</w:t>
      </w:r>
    </w:p>
    <w:p w14:paraId="1CBB541A">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1.2.2.3工作平台应采用不小于4mm厚的花纹钢板铺装，相邻钢板不应搭接，上表面的高度差应不大于4mm，工作平台及通道的所有敞开边缘应设置防护栏杆工作平台的防护栏杆应带踢脚板。</w:t>
      </w:r>
    </w:p>
    <w:p w14:paraId="4BD2113B">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1.2.2.4防护栏杆的高度应&gt;1.2m,扶手宜选用外径40mm国标钢管，防护栏杆的踢脚板宜采用不小于100mm*2mm的钢板制造。</w:t>
      </w:r>
    </w:p>
    <w:p w14:paraId="43F34A82">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1.2.2.5平台及防护栏杆、斜梯安装后，应对其至少涂一层防锈底漆和一层面漆。</w:t>
      </w:r>
    </w:p>
    <w:p w14:paraId="0BBF9E88">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2.建设</w:t>
      </w:r>
      <w:r>
        <w:rPr>
          <w:rFonts w:hint="eastAsia" w:ascii="宋体" w:hAnsi="宋体" w:eastAsia="宋体" w:cs="宋体"/>
          <w:b/>
          <w:bCs/>
          <w:sz w:val="28"/>
          <w:szCs w:val="28"/>
          <w:lang w:val="en-US" w:eastAsia="zh-CN"/>
        </w:rPr>
        <w:t>要求：</w:t>
      </w:r>
    </w:p>
    <w:p w14:paraId="6D25FEF3">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（1）污水处理站废气污染防治技术工艺：</w:t>
      </w:r>
      <w:r>
        <w:rPr>
          <w:rFonts w:hint="eastAsia" w:ascii="宋体" w:hAnsi="宋体" w:eastAsia="宋体" w:cs="宋体"/>
          <w:sz w:val="28"/>
          <w:szCs w:val="28"/>
          <w:lang w:val="en-US" w:eastAsia="zh-CN"/>
        </w:rPr>
        <w:t>对产生恶臭的区域加盖+集中收集经二级活性炭吸附处理达标后，</w:t>
      </w:r>
      <w:r>
        <w:rPr>
          <w:rFonts w:hint="eastAsia" w:ascii="宋体" w:hAnsi="宋体" w:eastAsia="宋体" w:cs="宋体"/>
          <w:color w:val="auto"/>
          <w:sz w:val="28"/>
          <w:szCs w:val="28"/>
          <w:lang w:val="en-US" w:eastAsia="zh-CN"/>
        </w:rPr>
        <w:t>通过1根15m高排气管排放。</w:t>
      </w:r>
    </w:p>
    <w:p w14:paraId="28CFB433">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（2）废气排放管的尺寸与坐标：</w:t>
      </w:r>
      <w:r>
        <w:rPr>
          <w:rFonts w:hint="eastAsia" w:ascii="宋体" w:hAnsi="宋体" w:eastAsia="宋体" w:cs="宋体"/>
          <w:sz w:val="28"/>
          <w:szCs w:val="28"/>
          <w:lang w:val="en-US" w:eastAsia="zh-CN"/>
        </w:rPr>
        <w:t>高度15米。内直径0.5米。地理坐标：117°9'28.224"E、35°48'6.159"N。</w:t>
      </w:r>
    </w:p>
    <w:p w14:paraId="4FE7F9AF">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（3）污水处理站废气执行环保排放标准：</w:t>
      </w:r>
      <w:r>
        <w:rPr>
          <w:rFonts w:hint="eastAsia" w:ascii="宋体" w:hAnsi="宋体" w:eastAsia="宋体" w:cs="宋体"/>
          <w:b w:val="0"/>
          <w:bCs w:val="0"/>
          <w:sz w:val="28"/>
          <w:szCs w:val="28"/>
          <w:lang w:val="en-US" w:eastAsia="zh-CN"/>
        </w:rPr>
        <w:t>恶臭气体排放须满足《恶臭污染物排放标准》(GB14554-1993)表2排放标准限值及表1二级新改扩建厂界标准限值。</w:t>
      </w:r>
    </w:p>
    <w:tbl>
      <w:tblPr>
        <w:tblStyle w:val="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259"/>
        <w:gridCol w:w="1063"/>
        <w:gridCol w:w="1305"/>
        <w:gridCol w:w="1335"/>
        <w:gridCol w:w="1680"/>
        <w:gridCol w:w="2150"/>
      </w:tblGrid>
      <w:tr w14:paraId="1383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Merge w:val="restart"/>
            <w:vAlign w:val="center"/>
          </w:tcPr>
          <w:p w14:paraId="4CF2AC0D">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排气筒</w:t>
            </w:r>
            <w:r>
              <w:rPr>
                <w:rFonts w:hint="eastAsia" w:ascii="宋体" w:hAnsi="宋体" w:eastAsia="宋体" w:cs="宋体"/>
                <w:sz w:val="24"/>
                <w:szCs w:val="24"/>
                <w:lang w:val="en-US" w:eastAsia="zh-CN"/>
              </w:rPr>
              <w:t>名称</w:t>
            </w:r>
          </w:p>
        </w:tc>
        <w:tc>
          <w:tcPr>
            <w:tcW w:w="1259" w:type="dxa"/>
            <w:vMerge w:val="restart"/>
            <w:vAlign w:val="center"/>
          </w:tcPr>
          <w:p w14:paraId="2A703C70">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污染物</w:t>
            </w:r>
          </w:p>
        </w:tc>
        <w:tc>
          <w:tcPr>
            <w:tcW w:w="3703" w:type="dxa"/>
            <w:gridSpan w:val="3"/>
            <w:vAlign w:val="center"/>
          </w:tcPr>
          <w:p w14:paraId="7B8A34B3">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有组织标准限值</w:t>
            </w:r>
          </w:p>
        </w:tc>
        <w:tc>
          <w:tcPr>
            <w:tcW w:w="1680" w:type="dxa"/>
            <w:vMerge w:val="restart"/>
            <w:vAlign w:val="center"/>
          </w:tcPr>
          <w:p w14:paraId="3F8297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无组织标准限值（mg/m</w:t>
            </w:r>
            <w:r>
              <w:rPr>
                <w:rFonts w:hint="eastAsia" w:ascii="宋体" w:hAnsi="宋体" w:eastAsia="宋体" w:cs="宋体"/>
                <w:sz w:val="24"/>
                <w:szCs w:val="24"/>
                <w:vertAlign w:val="superscript"/>
              </w:rPr>
              <w:t>3</w:t>
            </w:r>
            <w:r>
              <w:rPr>
                <w:rFonts w:hint="eastAsia" w:ascii="宋体" w:hAnsi="宋体" w:eastAsia="宋体" w:cs="宋体"/>
                <w:sz w:val="24"/>
                <w:szCs w:val="24"/>
              </w:rPr>
              <w:t>）标准来源</w:t>
            </w:r>
          </w:p>
        </w:tc>
        <w:tc>
          <w:tcPr>
            <w:tcW w:w="2150" w:type="dxa"/>
            <w:vMerge w:val="restart"/>
            <w:vAlign w:val="center"/>
          </w:tcPr>
          <w:p w14:paraId="197FED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标准来源</w:t>
            </w:r>
          </w:p>
        </w:tc>
      </w:tr>
      <w:tr w14:paraId="1620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Merge w:val="continue"/>
            <w:vAlign w:val="center"/>
          </w:tcPr>
          <w:p w14:paraId="736A9DBE">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1259" w:type="dxa"/>
            <w:vMerge w:val="continue"/>
            <w:vAlign w:val="center"/>
          </w:tcPr>
          <w:p w14:paraId="234D4685">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1063" w:type="dxa"/>
            <w:vAlign w:val="center"/>
          </w:tcPr>
          <w:p w14:paraId="0DC8809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排气筒高度（m）</w:t>
            </w:r>
          </w:p>
        </w:tc>
        <w:tc>
          <w:tcPr>
            <w:tcW w:w="1305" w:type="dxa"/>
            <w:vAlign w:val="center"/>
          </w:tcPr>
          <w:p w14:paraId="4BA523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排放浓度（mg/m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1335" w:type="dxa"/>
            <w:vAlign w:val="center"/>
          </w:tcPr>
          <w:p w14:paraId="25E855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排放速率（kg/h）</w:t>
            </w:r>
          </w:p>
        </w:tc>
        <w:tc>
          <w:tcPr>
            <w:tcW w:w="1680" w:type="dxa"/>
            <w:vMerge w:val="continue"/>
            <w:vAlign w:val="center"/>
          </w:tcPr>
          <w:p w14:paraId="561130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2150" w:type="dxa"/>
            <w:vMerge w:val="continue"/>
            <w:vAlign w:val="center"/>
          </w:tcPr>
          <w:p w14:paraId="2B2160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p>
        </w:tc>
      </w:tr>
      <w:tr w14:paraId="3E13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Merge w:val="restart"/>
            <w:vAlign w:val="center"/>
          </w:tcPr>
          <w:p w14:paraId="5A038796">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污水处理站排气筒</w:t>
            </w:r>
          </w:p>
        </w:tc>
        <w:tc>
          <w:tcPr>
            <w:tcW w:w="1259" w:type="dxa"/>
            <w:vAlign w:val="center"/>
          </w:tcPr>
          <w:p w14:paraId="35710EF4">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NH3</w:t>
            </w:r>
          </w:p>
        </w:tc>
        <w:tc>
          <w:tcPr>
            <w:tcW w:w="1063" w:type="dxa"/>
            <w:vMerge w:val="restart"/>
            <w:vAlign w:val="center"/>
          </w:tcPr>
          <w:p w14:paraId="4D0354E1">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15</w:t>
            </w:r>
          </w:p>
        </w:tc>
        <w:tc>
          <w:tcPr>
            <w:tcW w:w="1305" w:type="dxa"/>
            <w:vAlign w:val="center"/>
          </w:tcPr>
          <w:p w14:paraId="2AD41217">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c>
          <w:tcPr>
            <w:tcW w:w="1335" w:type="dxa"/>
            <w:vAlign w:val="center"/>
          </w:tcPr>
          <w:p w14:paraId="1852AA7F">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4.9</w:t>
            </w:r>
          </w:p>
        </w:tc>
        <w:tc>
          <w:tcPr>
            <w:tcW w:w="1680" w:type="dxa"/>
            <w:vAlign w:val="center"/>
          </w:tcPr>
          <w:p w14:paraId="60442890">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p>
        </w:tc>
        <w:tc>
          <w:tcPr>
            <w:tcW w:w="2150" w:type="dxa"/>
            <w:vMerge w:val="restart"/>
            <w:vAlign w:val="center"/>
          </w:tcPr>
          <w:p w14:paraId="40F61D09">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《恶臭污染物排放标准》（GB14554-1993）</w:t>
            </w:r>
          </w:p>
        </w:tc>
      </w:tr>
      <w:tr w14:paraId="067C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Merge w:val="continue"/>
            <w:vAlign w:val="center"/>
          </w:tcPr>
          <w:p w14:paraId="6CEF4221">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1259" w:type="dxa"/>
            <w:vAlign w:val="center"/>
          </w:tcPr>
          <w:p w14:paraId="05D60ED8">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H</w:t>
            </w:r>
            <w:r>
              <w:rPr>
                <w:rFonts w:hint="eastAsia" w:ascii="宋体" w:hAnsi="宋体" w:eastAsia="宋体" w:cs="宋体"/>
                <w:b w:val="0"/>
                <w:bCs w:val="0"/>
                <w:sz w:val="24"/>
                <w:szCs w:val="24"/>
                <w:vertAlign w:val="subscript"/>
                <w:lang w:val="en-US" w:eastAsia="zh-CN"/>
              </w:rPr>
              <w:t>2</w:t>
            </w:r>
            <w:r>
              <w:rPr>
                <w:rFonts w:hint="eastAsia" w:ascii="宋体" w:hAnsi="宋体" w:eastAsia="宋体" w:cs="宋体"/>
                <w:b w:val="0"/>
                <w:bCs w:val="0"/>
                <w:sz w:val="24"/>
                <w:szCs w:val="24"/>
                <w:lang w:val="en-US" w:eastAsia="zh-CN"/>
              </w:rPr>
              <w:t>S</w:t>
            </w:r>
          </w:p>
        </w:tc>
        <w:tc>
          <w:tcPr>
            <w:tcW w:w="1063" w:type="dxa"/>
            <w:vMerge w:val="continue"/>
            <w:vAlign w:val="center"/>
          </w:tcPr>
          <w:p w14:paraId="52FD9D84">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1305" w:type="dxa"/>
            <w:vAlign w:val="center"/>
          </w:tcPr>
          <w:p w14:paraId="4D35A1B8">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c>
          <w:tcPr>
            <w:tcW w:w="1335" w:type="dxa"/>
            <w:vAlign w:val="center"/>
          </w:tcPr>
          <w:p w14:paraId="3675509E">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0.33</w:t>
            </w:r>
          </w:p>
        </w:tc>
        <w:tc>
          <w:tcPr>
            <w:tcW w:w="1680" w:type="dxa"/>
            <w:vAlign w:val="center"/>
          </w:tcPr>
          <w:p w14:paraId="70C5BD9A">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0.06</w:t>
            </w:r>
          </w:p>
        </w:tc>
        <w:tc>
          <w:tcPr>
            <w:tcW w:w="2150" w:type="dxa"/>
            <w:vMerge w:val="continue"/>
            <w:vAlign w:val="center"/>
          </w:tcPr>
          <w:p w14:paraId="1606FEDC">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p>
        </w:tc>
      </w:tr>
      <w:tr w14:paraId="54DC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Merge w:val="continue"/>
            <w:vAlign w:val="center"/>
          </w:tcPr>
          <w:p w14:paraId="469EA42D">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1259" w:type="dxa"/>
            <w:vAlign w:val="center"/>
          </w:tcPr>
          <w:p w14:paraId="138B5E61">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臭气浓度</w:t>
            </w:r>
          </w:p>
        </w:tc>
        <w:tc>
          <w:tcPr>
            <w:tcW w:w="1063" w:type="dxa"/>
            <w:vMerge w:val="continue"/>
            <w:vAlign w:val="center"/>
          </w:tcPr>
          <w:p w14:paraId="46D11EC2">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1305" w:type="dxa"/>
            <w:vAlign w:val="center"/>
          </w:tcPr>
          <w:p w14:paraId="091A228A">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c>
          <w:tcPr>
            <w:tcW w:w="1335" w:type="dxa"/>
            <w:vAlign w:val="center"/>
          </w:tcPr>
          <w:p w14:paraId="55BCB35D">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2000（无量纲）</w:t>
            </w:r>
          </w:p>
        </w:tc>
        <w:tc>
          <w:tcPr>
            <w:tcW w:w="1680" w:type="dxa"/>
            <w:vAlign w:val="center"/>
          </w:tcPr>
          <w:p w14:paraId="30103E36">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20（无量纲)</w:t>
            </w:r>
          </w:p>
        </w:tc>
        <w:tc>
          <w:tcPr>
            <w:tcW w:w="2150" w:type="dxa"/>
            <w:vMerge w:val="continue"/>
            <w:vAlign w:val="center"/>
          </w:tcPr>
          <w:p w14:paraId="2F2280C2">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p>
        </w:tc>
      </w:tr>
    </w:tbl>
    <w:p w14:paraId="5366BB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宋体" w:hAnsi="宋体" w:eastAsia="宋体" w:cs="宋体"/>
          <w:sz w:val="28"/>
          <w:szCs w:val="28"/>
        </w:rPr>
      </w:pPr>
      <w:r>
        <w:rPr>
          <w:rFonts w:hint="eastAsia" w:ascii="宋体" w:hAnsi="宋体" w:eastAsia="宋体" w:cs="宋体"/>
          <w:b/>
          <w:bCs/>
          <w:kern w:val="2"/>
          <w:sz w:val="28"/>
          <w:szCs w:val="28"/>
          <w:lang w:val="en-US" w:eastAsia="zh-CN" w:bidi="ar-SA"/>
        </w:rPr>
        <w:t>（4）污水处理站废气产生、治理效果要求及排放要求：</w:t>
      </w:r>
    </w:p>
    <w:tbl>
      <w:tblPr>
        <w:tblStyle w:val="7"/>
        <w:tblW w:w="10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91"/>
        <w:gridCol w:w="852"/>
        <w:gridCol w:w="924"/>
        <w:gridCol w:w="652"/>
        <w:gridCol w:w="788"/>
        <w:gridCol w:w="711"/>
        <w:gridCol w:w="711"/>
        <w:gridCol w:w="654"/>
        <w:gridCol w:w="920"/>
        <w:gridCol w:w="1212"/>
        <w:gridCol w:w="1237"/>
      </w:tblGrid>
      <w:tr w14:paraId="6E8C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Merge w:val="restart"/>
            <w:vAlign w:val="center"/>
          </w:tcPr>
          <w:p w14:paraId="77C1E96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产</w:t>
            </w:r>
          </w:p>
          <w:p w14:paraId="4A238CD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污环节</w:t>
            </w:r>
          </w:p>
        </w:tc>
        <w:tc>
          <w:tcPr>
            <w:tcW w:w="791" w:type="dxa"/>
            <w:vMerge w:val="restart"/>
            <w:vAlign w:val="center"/>
          </w:tcPr>
          <w:p w14:paraId="1C217E7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污染物</w:t>
            </w:r>
          </w:p>
        </w:tc>
        <w:tc>
          <w:tcPr>
            <w:tcW w:w="1776" w:type="dxa"/>
            <w:gridSpan w:val="2"/>
            <w:vAlign w:val="center"/>
          </w:tcPr>
          <w:p w14:paraId="3CE9BB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产生情况</w:t>
            </w:r>
          </w:p>
        </w:tc>
        <w:tc>
          <w:tcPr>
            <w:tcW w:w="652" w:type="dxa"/>
            <w:vMerge w:val="restart"/>
            <w:vAlign w:val="center"/>
          </w:tcPr>
          <w:p w14:paraId="324410E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排放形式</w:t>
            </w:r>
          </w:p>
        </w:tc>
        <w:tc>
          <w:tcPr>
            <w:tcW w:w="2864" w:type="dxa"/>
            <w:gridSpan w:val="4"/>
            <w:vAlign w:val="center"/>
          </w:tcPr>
          <w:p w14:paraId="1D83FCA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治理设施：二级活性炭吸附装置+排气筒</w:t>
            </w:r>
          </w:p>
        </w:tc>
        <w:tc>
          <w:tcPr>
            <w:tcW w:w="3369" w:type="dxa"/>
            <w:gridSpan w:val="3"/>
            <w:vAlign w:val="center"/>
          </w:tcPr>
          <w:p w14:paraId="1D808B7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排放情况</w:t>
            </w:r>
          </w:p>
        </w:tc>
      </w:tr>
      <w:tr w14:paraId="53E4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Merge w:val="continue"/>
            <w:vAlign w:val="center"/>
          </w:tcPr>
          <w:p w14:paraId="6538C7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91" w:type="dxa"/>
            <w:vMerge w:val="continue"/>
            <w:vAlign w:val="center"/>
          </w:tcPr>
          <w:p w14:paraId="3BC1865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852" w:type="dxa"/>
            <w:vAlign w:val="center"/>
          </w:tcPr>
          <w:p w14:paraId="610570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产生速率kg/h</w:t>
            </w:r>
          </w:p>
        </w:tc>
        <w:tc>
          <w:tcPr>
            <w:tcW w:w="924" w:type="dxa"/>
            <w:vAlign w:val="center"/>
          </w:tcPr>
          <w:p w14:paraId="1297E2D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产生量t/a</w:t>
            </w:r>
          </w:p>
        </w:tc>
        <w:tc>
          <w:tcPr>
            <w:tcW w:w="652" w:type="dxa"/>
            <w:vMerge w:val="continue"/>
            <w:vAlign w:val="center"/>
          </w:tcPr>
          <w:p w14:paraId="2292090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88" w:type="dxa"/>
            <w:vAlign w:val="center"/>
          </w:tcPr>
          <w:p w14:paraId="5C7464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处理能力m</w:t>
            </w:r>
            <w:r>
              <w:rPr>
                <w:rFonts w:hint="eastAsia" w:ascii="宋体" w:hAnsi="宋体" w:eastAsia="宋体" w:cs="宋体"/>
                <w:sz w:val="24"/>
                <w:szCs w:val="24"/>
                <w:vertAlign w:val="superscript"/>
              </w:rPr>
              <w:t>3</w:t>
            </w:r>
            <w:r>
              <w:rPr>
                <w:rFonts w:hint="eastAsia" w:ascii="宋体" w:hAnsi="宋体" w:eastAsia="宋体" w:cs="宋体"/>
                <w:sz w:val="24"/>
                <w:szCs w:val="24"/>
              </w:rPr>
              <w:t>/h</w:t>
            </w:r>
          </w:p>
        </w:tc>
        <w:tc>
          <w:tcPr>
            <w:tcW w:w="711" w:type="dxa"/>
            <w:vAlign w:val="center"/>
          </w:tcPr>
          <w:p w14:paraId="12E54F6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收集效率</w:t>
            </w:r>
          </w:p>
        </w:tc>
        <w:tc>
          <w:tcPr>
            <w:tcW w:w="711" w:type="dxa"/>
            <w:vAlign w:val="center"/>
          </w:tcPr>
          <w:p w14:paraId="4D6CE36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治理工艺去除率</w:t>
            </w:r>
          </w:p>
        </w:tc>
        <w:tc>
          <w:tcPr>
            <w:tcW w:w="654" w:type="dxa"/>
            <w:vAlign w:val="center"/>
          </w:tcPr>
          <w:p w14:paraId="19519B7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是否为可行技术</w:t>
            </w:r>
          </w:p>
        </w:tc>
        <w:tc>
          <w:tcPr>
            <w:tcW w:w="920" w:type="dxa"/>
            <w:vAlign w:val="center"/>
          </w:tcPr>
          <w:p w14:paraId="05BABA2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排放浓度mg/m</w:t>
            </w:r>
            <w:r>
              <w:rPr>
                <w:rFonts w:hint="eastAsia" w:ascii="宋体" w:hAnsi="宋体" w:eastAsia="宋体" w:cs="宋体"/>
                <w:sz w:val="24"/>
                <w:szCs w:val="24"/>
                <w:vertAlign w:val="superscript"/>
              </w:rPr>
              <w:t>3</w:t>
            </w:r>
          </w:p>
        </w:tc>
        <w:tc>
          <w:tcPr>
            <w:tcW w:w="1212" w:type="dxa"/>
            <w:vAlign w:val="center"/>
          </w:tcPr>
          <w:p w14:paraId="4543A74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排放速率kg/h</w:t>
            </w:r>
          </w:p>
        </w:tc>
        <w:tc>
          <w:tcPr>
            <w:tcW w:w="1237" w:type="dxa"/>
            <w:vAlign w:val="center"/>
          </w:tcPr>
          <w:p w14:paraId="5A00CA0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排放量t/a</w:t>
            </w:r>
          </w:p>
        </w:tc>
      </w:tr>
      <w:tr w14:paraId="48DF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Merge w:val="restart"/>
            <w:vAlign w:val="center"/>
          </w:tcPr>
          <w:p w14:paraId="5029E52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污水处理站</w:t>
            </w:r>
          </w:p>
        </w:tc>
        <w:tc>
          <w:tcPr>
            <w:tcW w:w="791" w:type="dxa"/>
            <w:vAlign w:val="center"/>
          </w:tcPr>
          <w:p w14:paraId="7CB58D4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NH</w:t>
            </w:r>
            <w:r>
              <w:rPr>
                <w:rFonts w:hint="eastAsia" w:ascii="宋体" w:hAnsi="宋体" w:eastAsia="宋体" w:cs="宋体"/>
                <w:sz w:val="24"/>
                <w:szCs w:val="24"/>
                <w:vertAlign w:val="subscript"/>
              </w:rPr>
              <w:t>3</w:t>
            </w:r>
          </w:p>
        </w:tc>
        <w:tc>
          <w:tcPr>
            <w:tcW w:w="852" w:type="dxa"/>
            <w:vAlign w:val="center"/>
          </w:tcPr>
          <w:p w14:paraId="6D6AE5F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0.012</w:t>
            </w:r>
          </w:p>
        </w:tc>
        <w:tc>
          <w:tcPr>
            <w:tcW w:w="924" w:type="dxa"/>
            <w:vAlign w:val="center"/>
          </w:tcPr>
          <w:p w14:paraId="54FB115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0.021</w:t>
            </w:r>
          </w:p>
        </w:tc>
        <w:tc>
          <w:tcPr>
            <w:tcW w:w="652" w:type="dxa"/>
            <w:vMerge w:val="restart"/>
            <w:vAlign w:val="center"/>
          </w:tcPr>
          <w:p w14:paraId="2626140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有组织</w:t>
            </w:r>
          </w:p>
        </w:tc>
        <w:tc>
          <w:tcPr>
            <w:tcW w:w="788" w:type="dxa"/>
            <w:vMerge w:val="restart"/>
            <w:vAlign w:val="center"/>
          </w:tcPr>
          <w:p w14:paraId="2A13E49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3000</w:t>
            </w:r>
          </w:p>
        </w:tc>
        <w:tc>
          <w:tcPr>
            <w:tcW w:w="711" w:type="dxa"/>
            <w:vMerge w:val="restart"/>
            <w:vAlign w:val="center"/>
          </w:tcPr>
          <w:p w14:paraId="6E77261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95%</w:t>
            </w:r>
          </w:p>
        </w:tc>
        <w:tc>
          <w:tcPr>
            <w:tcW w:w="711" w:type="dxa"/>
            <w:vMerge w:val="restart"/>
            <w:vAlign w:val="center"/>
          </w:tcPr>
          <w:p w14:paraId="42B9F8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90%</w:t>
            </w:r>
          </w:p>
        </w:tc>
        <w:tc>
          <w:tcPr>
            <w:tcW w:w="654" w:type="dxa"/>
            <w:vMerge w:val="restart"/>
            <w:vAlign w:val="center"/>
          </w:tcPr>
          <w:p w14:paraId="536F77E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是</w:t>
            </w:r>
          </w:p>
        </w:tc>
        <w:tc>
          <w:tcPr>
            <w:tcW w:w="920" w:type="dxa"/>
            <w:vAlign w:val="center"/>
          </w:tcPr>
          <w:p w14:paraId="598AB0E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0.38</w:t>
            </w:r>
          </w:p>
        </w:tc>
        <w:tc>
          <w:tcPr>
            <w:tcW w:w="1212" w:type="dxa"/>
            <w:vAlign w:val="center"/>
          </w:tcPr>
          <w:p w14:paraId="3A657E2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0.0012</w:t>
            </w:r>
          </w:p>
        </w:tc>
        <w:tc>
          <w:tcPr>
            <w:tcW w:w="1237" w:type="dxa"/>
            <w:vAlign w:val="center"/>
          </w:tcPr>
          <w:p w14:paraId="49C2E0D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0.0021</w:t>
            </w:r>
          </w:p>
        </w:tc>
      </w:tr>
      <w:tr w14:paraId="360A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Merge w:val="continue"/>
            <w:vAlign w:val="center"/>
          </w:tcPr>
          <w:p w14:paraId="325C9E5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91" w:type="dxa"/>
            <w:vAlign w:val="center"/>
          </w:tcPr>
          <w:p w14:paraId="66CEB29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H</w:t>
            </w:r>
            <w:r>
              <w:rPr>
                <w:rFonts w:hint="eastAsia" w:ascii="宋体" w:hAnsi="宋体" w:eastAsia="宋体" w:cs="宋体"/>
                <w:sz w:val="24"/>
                <w:szCs w:val="24"/>
                <w:vertAlign w:val="subscript"/>
              </w:rPr>
              <w:t>2</w:t>
            </w:r>
            <w:r>
              <w:rPr>
                <w:rFonts w:hint="eastAsia" w:ascii="宋体" w:hAnsi="宋体" w:eastAsia="宋体" w:cs="宋体"/>
                <w:sz w:val="24"/>
                <w:szCs w:val="24"/>
              </w:rPr>
              <w:t>S</w:t>
            </w:r>
          </w:p>
        </w:tc>
        <w:tc>
          <w:tcPr>
            <w:tcW w:w="852" w:type="dxa"/>
            <w:vAlign w:val="center"/>
          </w:tcPr>
          <w:p w14:paraId="23317F9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0.00045</w:t>
            </w:r>
          </w:p>
        </w:tc>
        <w:tc>
          <w:tcPr>
            <w:tcW w:w="924" w:type="dxa"/>
            <w:vAlign w:val="center"/>
          </w:tcPr>
          <w:p w14:paraId="32834B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0.00082</w:t>
            </w:r>
          </w:p>
        </w:tc>
        <w:tc>
          <w:tcPr>
            <w:tcW w:w="652" w:type="dxa"/>
            <w:vMerge w:val="continue"/>
            <w:vAlign w:val="center"/>
          </w:tcPr>
          <w:p w14:paraId="334DE1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88" w:type="dxa"/>
            <w:vMerge w:val="continue"/>
            <w:vAlign w:val="center"/>
          </w:tcPr>
          <w:p w14:paraId="176E4AB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11" w:type="dxa"/>
            <w:vMerge w:val="continue"/>
            <w:vAlign w:val="center"/>
          </w:tcPr>
          <w:p w14:paraId="5FC67A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11" w:type="dxa"/>
            <w:vMerge w:val="continue"/>
            <w:vAlign w:val="center"/>
          </w:tcPr>
          <w:p w14:paraId="1D56076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654" w:type="dxa"/>
            <w:vMerge w:val="continue"/>
            <w:vAlign w:val="center"/>
          </w:tcPr>
          <w:p w14:paraId="1FAB356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920" w:type="dxa"/>
            <w:vAlign w:val="center"/>
          </w:tcPr>
          <w:p w14:paraId="2819CDD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0.015</w:t>
            </w:r>
          </w:p>
        </w:tc>
        <w:tc>
          <w:tcPr>
            <w:tcW w:w="1212" w:type="dxa"/>
            <w:vAlign w:val="center"/>
          </w:tcPr>
          <w:p w14:paraId="2701BB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0.000045</w:t>
            </w:r>
          </w:p>
        </w:tc>
        <w:tc>
          <w:tcPr>
            <w:tcW w:w="1237" w:type="dxa"/>
            <w:vAlign w:val="center"/>
          </w:tcPr>
          <w:p w14:paraId="1C39F6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0.000082</w:t>
            </w:r>
          </w:p>
        </w:tc>
      </w:tr>
      <w:tr w14:paraId="5526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Merge w:val="continue"/>
            <w:vAlign w:val="center"/>
          </w:tcPr>
          <w:p w14:paraId="28A614A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91" w:type="dxa"/>
            <w:vAlign w:val="center"/>
          </w:tcPr>
          <w:p w14:paraId="662A154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臭气浓度</w:t>
            </w:r>
          </w:p>
        </w:tc>
        <w:tc>
          <w:tcPr>
            <w:tcW w:w="852" w:type="dxa"/>
            <w:vAlign w:val="center"/>
          </w:tcPr>
          <w:p w14:paraId="24FDDA3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5000</w:t>
            </w:r>
          </w:p>
        </w:tc>
        <w:tc>
          <w:tcPr>
            <w:tcW w:w="924" w:type="dxa"/>
            <w:vAlign w:val="center"/>
          </w:tcPr>
          <w:p w14:paraId="615B4B7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652" w:type="dxa"/>
            <w:vMerge w:val="continue"/>
            <w:vAlign w:val="center"/>
          </w:tcPr>
          <w:p w14:paraId="7500B0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88" w:type="dxa"/>
            <w:vMerge w:val="continue"/>
            <w:vAlign w:val="center"/>
          </w:tcPr>
          <w:p w14:paraId="7BA0C29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11" w:type="dxa"/>
            <w:vMerge w:val="continue"/>
            <w:vAlign w:val="center"/>
          </w:tcPr>
          <w:p w14:paraId="75D60D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11" w:type="dxa"/>
            <w:vMerge w:val="continue"/>
            <w:vAlign w:val="center"/>
          </w:tcPr>
          <w:p w14:paraId="339DD8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654" w:type="dxa"/>
            <w:vMerge w:val="continue"/>
            <w:vAlign w:val="center"/>
          </w:tcPr>
          <w:p w14:paraId="65EF16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920" w:type="dxa"/>
            <w:vAlign w:val="center"/>
          </w:tcPr>
          <w:p w14:paraId="0803798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500</w:t>
            </w:r>
          </w:p>
        </w:tc>
        <w:tc>
          <w:tcPr>
            <w:tcW w:w="1212" w:type="dxa"/>
            <w:vAlign w:val="center"/>
          </w:tcPr>
          <w:p w14:paraId="340BCE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237" w:type="dxa"/>
            <w:vAlign w:val="center"/>
          </w:tcPr>
          <w:p w14:paraId="42A6A09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r>
    </w:tbl>
    <w:p w14:paraId="1140C3FB">
      <w:pPr>
        <w:pStyle w:val="9"/>
        <w:keepNext w:val="0"/>
        <w:keepLines w:val="0"/>
        <w:pageBreakBefore w:val="0"/>
        <w:numPr>
          <w:ilvl w:val="0"/>
          <w:numId w:val="0"/>
        </w:numPr>
        <w:kinsoku/>
        <w:wordWrap/>
        <w:overflowPunct/>
        <w:topLinePunct w:val="0"/>
        <w:bidi w:val="0"/>
        <w:spacing w:line="520" w:lineRule="exact"/>
        <w:ind w:left="0" w:leftChars="0" w:firstLine="562" w:firstLineChars="200"/>
        <w:rPr>
          <w:rFonts w:hint="eastAsia" w:ascii="宋体" w:hAnsi="宋体" w:eastAsia="宋体" w:cs="宋体"/>
          <w:b/>
          <w:bCs/>
          <w:sz w:val="28"/>
          <w:szCs w:val="28"/>
          <w:lang w:val="en-US" w:eastAsia="zh-CN"/>
        </w:rPr>
      </w:pPr>
      <w:r>
        <w:rPr>
          <w:rFonts w:hint="eastAsia" w:ascii="宋体" w:hAnsi="宋体" w:eastAsia="宋体" w:cs="宋体"/>
          <w:b/>
          <w:bCs/>
          <w:color w:val="000000"/>
          <w:sz w:val="28"/>
          <w:szCs w:val="28"/>
          <w:lang w:val="en-US" w:eastAsia="zh-CN" w:bidi="ar-SA"/>
        </w:rPr>
        <w:t>3.</w:t>
      </w:r>
      <w:r>
        <w:rPr>
          <w:rFonts w:hint="eastAsia" w:ascii="宋体" w:hAnsi="宋体" w:eastAsia="宋体" w:cs="宋体"/>
          <w:b/>
          <w:bCs/>
          <w:sz w:val="28"/>
          <w:szCs w:val="28"/>
          <w:lang w:val="en-US" w:eastAsia="zh-CN"/>
        </w:rPr>
        <w:t>液氮速冻机排风系统</w:t>
      </w:r>
    </w:p>
    <w:p w14:paraId="6979778E">
      <w:pPr>
        <w:keepNext w:val="0"/>
        <w:keepLines w:val="0"/>
        <w:pageBreakBefore w:val="0"/>
        <w:numPr>
          <w:ilvl w:val="0"/>
          <w:numId w:val="0"/>
        </w:numPr>
        <w:kinsoku/>
        <w:wordWrap/>
        <w:overflowPunct/>
        <w:topLinePunct w:val="0"/>
        <w:bidi w:val="0"/>
        <w:spacing w:line="520" w:lineRule="exact"/>
        <w:ind w:left="0" w:leftChars="0" w:firstLine="560" w:firstLineChars="200"/>
        <w:jc w:val="left"/>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lang w:val="en-US" w:eastAsia="zh-CN"/>
        </w:rPr>
        <w:t>排风管道从液氮速冻机两处出风口连接三通合并到直径300毫米管道上，通至室外风机进风口。吊装、安装、电源开关中标方负责；</w:t>
      </w:r>
    </w:p>
    <w:p w14:paraId="4F706099">
      <w:pPr>
        <w:keepNext w:val="0"/>
        <w:keepLines w:val="0"/>
        <w:pageBreakBefore w:val="0"/>
        <w:numPr>
          <w:ilvl w:val="0"/>
          <w:numId w:val="0"/>
        </w:numPr>
        <w:kinsoku/>
        <w:wordWrap/>
        <w:overflowPunct/>
        <w:topLinePunct w:val="0"/>
        <w:bidi w:val="0"/>
        <w:spacing w:line="520" w:lineRule="exact"/>
        <w:ind w:left="0" w:leftChars="0" w:firstLine="560" w:firstLineChars="200"/>
        <w:jc w:val="left"/>
        <w:rPr>
          <w:rFonts w:hint="eastAsia" w:ascii="宋体" w:hAnsi="宋体" w:eastAsia="宋体" w:cs="宋体"/>
          <w:color w:val="0000FF"/>
          <w:sz w:val="28"/>
          <w:szCs w:val="28"/>
          <w:lang w:val="en-US" w:eastAsia="zh-CN"/>
        </w:rPr>
      </w:pPr>
      <w:r>
        <w:rPr>
          <w:rFonts w:hint="eastAsia" w:ascii="宋体" w:hAnsi="宋体" w:eastAsia="宋体" w:cs="宋体"/>
          <w:kern w:val="2"/>
          <w:sz w:val="28"/>
          <w:szCs w:val="28"/>
          <w:lang w:val="en-US" w:eastAsia="zh-CN" w:bidi="ar-SA"/>
        </w:rPr>
        <w:t>2.管道走向：至液氮速冻机出风口到车间吊顶上方→</w:t>
      </w:r>
      <w:r>
        <w:rPr>
          <w:rFonts w:hint="eastAsia" w:ascii="宋体" w:hAnsi="宋体" w:eastAsia="宋体" w:cs="宋体"/>
          <w:color w:val="auto"/>
          <w:sz w:val="28"/>
          <w:szCs w:val="28"/>
          <w:lang w:val="en-US" w:eastAsia="zh-CN"/>
        </w:rPr>
        <w:t>车间东墙外</w:t>
      </w:r>
      <w:r>
        <w:rPr>
          <w:rFonts w:hint="eastAsia" w:ascii="宋体" w:hAnsi="宋体" w:eastAsia="宋体" w:cs="宋体"/>
          <w:kern w:val="2"/>
          <w:sz w:val="28"/>
          <w:szCs w:val="28"/>
          <w:lang w:val="en-US" w:eastAsia="zh-CN" w:bidi="ar-SA"/>
        </w:rPr>
        <w:t>→</w:t>
      </w:r>
      <w:r>
        <w:rPr>
          <w:rFonts w:hint="eastAsia" w:ascii="宋体" w:hAnsi="宋体" w:eastAsia="宋体" w:cs="宋体"/>
          <w:color w:val="auto"/>
          <w:sz w:val="28"/>
          <w:szCs w:val="28"/>
          <w:lang w:val="en-US" w:eastAsia="zh-CN"/>
        </w:rPr>
        <w:t>下至地面连接风机进风口。</w:t>
      </w:r>
    </w:p>
    <w:p w14:paraId="498902C0">
      <w:pPr>
        <w:keepNext w:val="0"/>
        <w:keepLines w:val="0"/>
        <w:pageBreakBefore w:val="0"/>
        <w:numPr>
          <w:ilvl w:val="0"/>
          <w:numId w:val="0"/>
        </w:numPr>
        <w:kinsoku/>
        <w:wordWrap/>
        <w:overflowPunct/>
        <w:topLinePunct w:val="0"/>
        <w:bidi w:val="0"/>
        <w:spacing w:line="520" w:lineRule="exact"/>
        <w:ind w:left="0" w:leftChars="0"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3.配备一台风机功率3千瓦，2900r/min，风量1688-3517m³/h，配备4千瓦变频器一台控制风机。</w:t>
      </w:r>
    </w:p>
    <w:p w14:paraId="45F28A37">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4.排气管、离心风机需要在厂房打孔安装，和速冻机连接处采用软管。离心风机需要安装在室外环境，排气管从屋顶排出也更利于氮气由离心风机吸出。风机设备等需要做好挡雨。</w:t>
      </w:r>
    </w:p>
    <w:p w14:paraId="2A3B3838">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主要设备及材料（包括不限于）</w:t>
      </w:r>
    </w:p>
    <w:tbl>
      <w:tblPr>
        <w:tblStyle w:val="6"/>
        <w:tblW w:w="4979" w:type="pct"/>
        <w:tblInd w:w="0" w:type="dxa"/>
        <w:tblLayout w:type="fixed"/>
        <w:tblCellMar>
          <w:top w:w="0" w:type="dxa"/>
          <w:left w:w="0" w:type="dxa"/>
          <w:bottom w:w="0" w:type="dxa"/>
          <w:right w:w="0" w:type="dxa"/>
        </w:tblCellMar>
      </w:tblPr>
      <w:tblGrid>
        <w:gridCol w:w="516"/>
        <w:gridCol w:w="2207"/>
        <w:gridCol w:w="1558"/>
        <w:gridCol w:w="689"/>
        <w:gridCol w:w="689"/>
        <w:gridCol w:w="3517"/>
      </w:tblGrid>
      <w:tr w14:paraId="5D56E729">
        <w:tblPrEx>
          <w:tblCellMar>
            <w:top w:w="0" w:type="dxa"/>
            <w:left w:w="0" w:type="dxa"/>
            <w:bottom w:w="0" w:type="dxa"/>
            <w:right w:w="0" w:type="dxa"/>
          </w:tblCellMar>
        </w:tblPrEx>
        <w:trPr>
          <w:trHeight w:val="720" w:hRule="atLeast"/>
        </w:trPr>
        <w:tc>
          <w:tcPr>
            <w:tcW w:w="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0F036">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B1B00">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材料名称</w:t>
            </w:r>
          </w:p>
        </w:tc>
        <w:tc>
          <w:tcPr>
            <w:tcW w:w="8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0803C">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94A74">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6AC45">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w:t>
            </w:r>
          </w:p>
        </w:tc>
        <w:tc>
          <w:tcPr>
            <w:tcW w:w="19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C8EAC">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66C18A10">
        <w:tblPrEx>
          <w:tblCellMar>
            <w:top w:w="0" w:type="dxa"/>
            <w:left w:w="0" w:type="dxa"/>
            <w:bottom w:w="0" w:type="dxa"/>
            <w:right w:w="0" w:type="dxa"/>
          </w:tblCellMar>
        </w:tblPrEx>
        <w:trPr>
          <w:trHeight w:val="500" w:hRule="atLeast"/>
        </w:trPr>
        <w:tc>
          <w:tcPr>
            <w:tcW w:w="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BA64E">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3CDDA">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离心风机</w:t>
            </w:r>
          </w:p>
        </w:tc>
        <w:tc>
          <w:tcPr>
            <w:tcW w:w="8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21537">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3.6A-3KW</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A0A27">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75EF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w:t>
            </w:r>
          </w:p>
        </w:tc>
        <w:tc>
          <w:tcPr>
            <w:tcW w:w="19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C2A59">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i w:val="0"/>
                <w:color w:val="000000"/>
                <w:sz w:val="24"/>
                <w:szCs w:val="24"/>
                <w:u w:val="none"/>
                <w:vertAlign w:val="baseline"/>
                <w:lang w:val="en-US" w:eastAsia="zh-CN"/>
              </w:rPr>
            </w:pPr>
            <w:r>
              <w:rPr>
                <w:rFonts w:hint="eastAsia" w:ascii="宋体" w:hAnsi="宋体" w:eastAsia="宋体" w:cs="宋体"/>
                <w:i w:val="0"/>
                <w:color w:val="000000"/>
                <w:sz w:val="24"/>
                <w:szCs w:val="24"/>
                <w:u w:val="none"/>
                <w:lang w:val="en-US" w:eastAsia="zh-CN"/>
              </w:rPr>
              <w:t>配置最低参数：4-72-3.2A,旋向RD：R90</w:t>
            </w:r>
            <w:r>
              <w:rPr>
                <w:rFonts w:hint="eastAsia" w:ascii="宋体" w:hAnsi="宋体" w:eastAsia="宋体" w:cs="宋体"/>
                <w:i w:val="0"/>
                <w:color w:val="000000"/>
                <w:sz w:val="24"/>
                <w:szCs w:val="24"/>
                <w:u w:val="none"/>
                <w:vertAlign w:val="baseline"/>
                <w:lang w:val="en-US" w:eastAsia="zh-CN"/>
              </w:rPr>
              <w:t>转速：2900r/min，风量1688-3517m</w:t>
            </w:r>
            <w:r>
              <w:rPr>
                <w:rFonts w:hint="eastAsia" w:ascii="宋体" w:hAnsi="宋体" w:eastAsia="宋体" w:cs="宋体"/>
                <w:i w:val="0"/>
                <w:color w:val="000000"/>
                <w:sz w:val="24"/>
                <w:szCs w:val="24"/>
                <w:u w:val="none"/>
                <w:vertAlign w:val="superscript"/>
                <w:lang w:val="en-US" w:eastAsia="zh-CN"/>
              </w:rPr>
              <w:t>3</w:t>
            </w:r>
            <w:r>
              <w:rPr>
                <w:rFonts w:hint="eastAsia" w:ascii="宋体" w:hAnsi="宋体" w:eastAsia="宋体" w:cs="宋体"/>
                <w:i w:val="0"/>
                <w:color w:val="000000"/>
                <w:sz w:val="24"/>
                <w:szCs w:val="24"/>
                <w:u w:val="none"/>
                <w:vertAlign w:val="baseline"/>
                <w:lang w:val="en-US" w:eastAsia="zh-CN"/>
              </w:rPr>
              <w:t>/h，全压1300-7912Pa</w:t>
            </w:r>
          </w:p>
          <w:p w14:paraId="669B2E3B">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含:排风管转接头，防雨帽含电源线配变频器1台</w:t>
            </w:r>
          </w:p>
        </w:tc>
      </w:tr>
      <w:tr w14:paraId="216E0D6A">
        <w:tblPrEx>
          <w:tblCellMar>
            <w:top w:w="0" w:type="dxa"/>
            <w:left w:w="0" w:type="dxa"/>
            <w:bottom w:w="0" w:type="dxa"/>
            <w:right w:w="0" w:type="dxa"/>
          </w:tblCellMar>
        </w:tblPrEx>
        <w:trPr>
          <w:trHeight w:val="500" w:hRule="atLeast"/>
        </w:trPr>
        <w:tc>
          <w:tcPr>
            <w:tcW w:w="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5F3E8">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EE7AB">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软管</w:t>
            </w:r>
          </w:p>
        </w:tc>
        <w:tc>
          <w:tcPr>
            <w:tcW w:w="8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0C369">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3m</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56715">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根</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D1F9C">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2</w:t>
            </w:r>
          </w:p>
        </w:tc>
        <w:tc>
          <w:tcPr>
            <w:tcW w:w="19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A1A23">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材质：铝合金</w:t>
            </w:r>
          </w:p>
        </w:tc>
      </w:tr>
      <w:tr w14:paraId="7407B509">
        <w:tblPrEx>
          <w:tblCellMar>
            <w:top w:w="0" w:type="dxa"/>
            <w:left w:w="0" w:type="dxa"/>
            <w:bottom w:w="0" w:type="dxa"/>
            <w:right w:w="0" w:type="dxa"/>
          </w:tblCellMar>
        </w:tblPrEx>
        <w:trPr>
          <w:trHeight w:val="500" w:hRule="atLeast"/>
        </w:trPr>
        <w:tc>
          <w:tcPr>
            <w:tcW w:w="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61F7E">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DB30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镀锌排气卷管</w:t>
            </w:r>
          </w:p>
        </w:tc>
        <w:tc>
          <w:tcPr>
            <w:tcW w:w="8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42C49">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DN300mm</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C24F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米</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13C14">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51</w:t>
            </w:r>
          </w:p>
        </w:tc>
        <w:tc>
          <w:tcPr>
            <w:tcW w:w="19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EEA58A">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含:镀锌卷</w:t>
            </w:r>
            <w:r>
              <w:rPr>
                <w:rFonts w:hint="eastAsia" w:ascii="宋体" w:hAnsi="宋体" w:eastAsia="宋体" w:cs="宋体"/>
                <w:color w:val="000000"/>
                <w:sz w:val="24"/>
                <w:szCs w:val="24"/>
              </w:rPr>
              <w:t>管</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管件</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焊材</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管卡</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支撑</w:t>
            </w:r>
            <w:r>
              <w:rPr>
                <w:rFonts w:hint="eastAsia" w:ascii="宋体" w:hAnsi="宋体" w:eastAsia="宋体" w:cs="宋体"/>
                <w:color w:val="000000"/>
                <w:sz w:val="24"/>
                <w:szCs w:val="24"/>
                <w:lang w:val="en-US" w:eastAsia="zh-CN"/>
              </w:rPr>
              <w:t>，保温</w:t>
            </w:r>
          </w:p>
        </w:tc>
      </w:tr>
      <w:tr w14:paraId="51648BB1">
        <w:tblPrEx>
          <w:tblCellMar>
            <w:top w:w="0" w:type="dxa"/>
            <w:left w:w="0" w:type="dxa"/>
            <w:bottom w:w="0" w:type="dxa"/>
            <w:right w:w="0" w:type="dxa"/>
          </w:tblCellMar>
        </w:tblPrEx>
        <w:trPr>
          <w:trHeight w:val="500" w:hRule="atLeast"/>
        </w:trPr>
        <w:tc>
          <w:tcPr>
            <w:tcW w:w="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F67BC">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40089">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弯头</w:t>
            </w:r>
          </w:p>
        </w:tc>
        <w:tc>
          <w:tcPr>
            <w:tcW w:w="8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8AF0E">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DN300mm</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CD23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50C6E">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3</w:t>
            </w:r>
          </w:p>
        </w:tc>
        <w:tc>
          <w:tcPr>
            <w:tcW w:w="19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005F2">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i w:val="0"/>
                <w:color w:val="000000"/>
                <w:sz w:val="24"/>
                <w:szCs w:val="24"/>
                <w:u w:val="none"/>
                <w:lang w:val="en-US" w:eastAsia="zh-CN"/>
              </w:rPr>
            </w:pPr>
          </w:p>
        </w:tc>
      </w:tr>
      <w:tr w14:paraId="0B5C4FAD">
        <w:tblPrEx>
          <w:tblCellMar>
            <w:top w:w="0" w:type="dxa"/>
            <w:left w:w="0" w:type="dxa"/>
            <w:bottom w:w="0" w:type="dxa"/>
            <w:right w:w="0" w:type="dxa"/>
          </w:tblCellMar>
        </w:tblPrEx>
        <w:trPr>
          <w:trHeight w:val="500" w:hRule="atLeast"/>
        </w:trPr>
        <w:tc>
          <w:tcPr>
            <w:tcW w:w="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DC11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83729">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三通</w:t>
            </w:r>
          </w:p>
        </w:tc>
        <w:tc>
          <w:tcPr>
            <w:tcW w:w="8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3B68C">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DN300mm</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8E119">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C02CB">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w:t>
            </w:r>
          </w:p>
        </w:tc>
        <w:tc>
          <w:tcPr>
            <w:tcW w:w="19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54D00">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color w:val="000000"/>
                <w:sz w:val="24"/>
                <w:szCs w:val="24"/>
                <w:lang w:val="en-US" w:eastAsia="zh-CN"/>
              </w:rPr>
              <w:t>材质为镀锌铁皮（铁皮厚度2毫米）</w:t>
            </w:r>
          </w:p>
        </w:tc>
      </w:tr>
      <w:tr w14:paraId="1E228521">
        <w:tblPrEx>
          <w:tblCellMar>
            <w:top w:w="0" w:type="dxa"/>
            <w:left w:w="0" w:type="dxa"/>
            <w:bottom w:w="0" w:type="dxa"/>
            <w:right w:w="0" w:type="dxa"/>
          </w:tblCellMar>
        </w:tblPrEx>
        <w:trPr>
          <w:trHeight w:val="500" w:hRule="atLeast"/>
        </w:trPr>
        <w:tc>
          <w:tcPr>
            <w:tcW w:w="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2E760">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DD518">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不锈钢电源箱</w:t>
            </w:r>
          </w:p>
        </w:tc>
        <w:tc>
          <w:tcPr>
            <w:tcW w:w="8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21CDD">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500×600mm</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3564E">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EC01A">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w:t>
            </w:r>
          </w:p>
        </w:tc>
        <w:tc>
          <w:tcPr>
            <w:tcW w:w="19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9BA2D">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箱内配置：50A断路器1个、32A4P漏电保护器1个，2P16A断路器1个，3P16A断路器1个</w:t>
            </w:r>
          </w:p>
        </w:tc>
      </w:tr>
      <w:tr w14:paraId="4CCA26BD">
        <w:tblPrEx>
          <w:tblCellMar>
            <w:top w:w="0" w:type="dxa"/>
            <w:left w:w="0" w:type="dxa"/>
            <w:bottom w:w="0" w:type="dxa"/>
            <w:right w:w="0" w:type="dxa"/>
          </w:tblCellMar>
        </w:tblPrEx>
        <w:trPr>
          <w:trHeight w:val="500" w:hRule="atLeast"/>
        </w:trPr>
        <w:tc>
          <w:tcPr>
            <w:tcW w:w="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52A2C">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12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67C3E">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变频器</w:t>
            </w:r>
          </w:p>
        </w:tc>
        <w:tc>
          <w:tcPr>
            <w:tcW w:w="8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8F06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88CB1">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sz w:val="24"/>
                <w:szCs w:val="24"/>
                <w:u w:val="none"/>
                <w:lang w:val="en-US" w:eastAsia="zh-CN"/>
              </w:rPr>
            </w:pP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12022">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2"/>
                <w:sz w:val="24"/>
                <w:szCs w:val="24"/>
                <w:u w:val="none"/>
                <w:lang w:val="en-US" w:eastAsia="zh-CN" w:bidi="ar-SA"/>
              </w:rPr>
            </w:pPr>
          </w:p>
        </w:tc>
        <w:tc>
          <w:tcPr>
            <w:tcW w:w="19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84975">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功率4000瓦</w:t>
            </w:r>
          </w:p>
        </w:tc>
      </w:tr>
    </w:tbl>
    <w:p w14:paraId="2239BA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eastAsia="宋体" w:cs="宋体"/>
          <w:b/>
          <w:bCs/>
          <w:sz w:val="28"/>
          <w:szCs w:val="28"/>
          <w:lang w:val="en-US" w:eastAsia="zh-CN"/>
        </w:rPr>
        <w:t>工期要求</w:t>
      </w:r>
    </w:p>
    <w:p w14:paraId="04711B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所有设计、加工、施工、安装、调试等工作自合同签订之日</w:t>
      </w:r>
      <w:r>
        <w:rPr>
          <w:rFonts w:hint="eastAsia" w:ascii="宋体" w:hAnsi="宋体" w:eastAsia="宋体" w:cs="宋体"/>
          <w:b w:val="0"/>
          <w:bCs w:val="0"/>
          <w:color w:val="auto"/>
          <w:sz w:val="28"/>
          <w:szCs w:val="28"/>
          <w:lang w:val="en-US" w:eastAsia="zh-CN"/>
        </w:rPr>
        <w:t>起30工作日之</w:t>
      </w:r>
      <w:r>
        <w:rPr>
          <w:rFonts w:hint="eastAsia" w:ascii="宋体" w:hAnsi="宋体" w:eastAsia="宋体" w:cs="宋体"/>
          <w:b w:val="0"/>
          <w:bCs w:val="0"/>
          <w:sz w:val="28"/>
          <w:szCs w:val="28"/>
          <w:lang w:val="en-US" w:eastAsia="zh-CN"/>
        </w:rPr>
        <w:t>内完成。</w:t>
      </w:r>
    </w:p>
    <w:p w14:paraId="78DEDC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eastAsia="宋体" w:cs="宋体"/>
          <w:b/>
          <w:bCs/>
          <w:sz w:val="28"/>
          <w:szCs w:val="28"/>
          <w:lang w:val="en-US" w:eastAsia="zh-CN"/>
        </w:rPr>
        <w:t>项目联系人及联系方式：</w:t>
      </w:r>
    </w:p>
    <w:p w14:paraId="32AE24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酒业公司副总经理、微山湖江来好总经理：陈强  13854788104</w:t>
      </w:r>
    </w:p>
    <w:p w14:paraId="322DF4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酒业公司企管科科长：肖峰  13905479844</w:t>
      </w:r>
    </w:p>
    <w:p w14:paraId="6921EB64">
      <w:pPr>
        <w:pStyle w:val="9"/>
        <w:keepNext w:val="0"/>
        <w:keepLines w:val="0"/>
        <w:pageBreakBefore w:val="0"/>
        <w:kinsoku/>
        <w:wordWrap/>
        <w:overflowPunct/>
        <w:topLinePunct w:val="0"/>
        <w:bidi w:val="0"/>
        <w:spacing w:line="520" w:lineRule="exact"/>
        <w:ind w:left="0" w:leftChars="0" w:firstLine="560" w:firstLineChars="200"/>
        <w:jc w:val="both"/>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微山湖江来好公司副经理：张永亮  13562786651</w:t>
      </w:r>
    </w:p>
    <w:p w14:paraId="3FA7AE32">
      <w:pPr>
        <w:pStyle w:val="5"/>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四、付款方式</w:t>
      </w:r>
    </w:p>
    <w:p w14:paraId="1D9E8F5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合同</w:t>
      </w:r>
      <w:r>
        <w:rPr>
          <w:rFonts w:hint="eastAsia" w:ascii="宋体" w:hAnsi="宋体" w:eastAsia="宋体" w:cs="宋体"/>
          <w:color w:val="auto"/>
          <w:sz w:val="28"/>
          <w:szCs w:val="28"/>
          <w:lang w:val="en-US" w:eastAsia="zh-CN"/>
        </w:rPr>
        <w:t>生效后</w:t>
      </w:r>
      <w:r>
        <w:rPr>
          <w:rFonts w:hint="eastAsia" w:ascii="宋体" w:hAnsi="宋体" w:eastAsia="宋体" w:cs="宋体"/>
          <w:color w:val="auto"/>
          <w:sz w:val="28"/>
          <w:szCs w:val="28"/>
        </w:rPr>
        <w:t>，甲方向乙方支付合同总价款的</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0%，乙</w:t>
      </w:r>
      <w:r>
        <w:rPr>
          <w:rFonts w:hint="eastAsia" w:ascii="宋体" w:hAnsi="宋体" w:eastAsia="宋体" w:cs="宋体"/>
          <w:color w:val="auto"/>
          <w:sz w:val="28"/>
          <w:szCs w:val="28"/>
          <w:lang w:val="en-US" w:eastAsia="zh-CN"/>
        </w:rPr>
        <w:t>方</w:t>
      </w:r>
      <w:r>
        <w:rPr>
          <w:rFonts w:hint="eastAsia" w:ascii="宋体" w:hAnsi="宋体" w:eastAsia="宋体" w:cs="宋体"/>
          <w:color w:val="auto"/>
          <w:sz w:val="28"/>
          <w:szCs w:val="28"/>
        </w:rPr>
        <w:t>应向甲方开具合同全额的增值税专用发票（税率</w:t>
      </w: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工程完成并通过环保验收后再付合同总价款的6</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。通过环保验收之日起保质期一年，保质期满，无质量问题，经使用单位出具使用正常证明后，全额付清余额10%。</w:t>
      </w:r>
    </w:p>
    <w:p w14:paraId="32879F81">
      <w:pPr>
        <w:pStyle w:val="9"/>
        <w:keepNext w:val="0"/>
        <w:keepLines w:val="0"/>
        <w:pageBreakBefore w:val="0"/>
        <w:numPr>
          <w:ilvl w:val="0"/>
          <w:numId w:val="1"/>
        </w:numPr>
        <w:kinsoku/>
        <w:wordWrap/>
        <w:overflowPunct/>
        <w:topLinePunct w:val="0"/>
        <w:bidi w:val="0"/>
        <w:spacing w:line="520" w:lineRule="exact"/>
        <w:ind w:left="0" w:leftChars="0"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项目质量保证</w:t>
      </w:r>
    </w:p>
    <w:p w14:paraId="022A65E3">
      <w:pPr>
        <w:pStyle w:val="9"/>
        <w:keepNext w:val="0"/>
        <w:keepLines w:val="0"/>
        <w:pageBreakBefore w:val="0"/>
        <w:numPr>
          <w:ilvl w:val="0"/>
          <w:numId w:val="0"/>
        </w:numPr>
        <w:kinsoku/>
        <w:wordWrap/>
        <w:overflowPunct/>
        <w:topLinePunct w:val="0"/>
        <w:bidi w:val="0"/>
        <w:spacing w:line="52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自整体项目通过环保检测验收合格投入使用或第三方出具《环保验收检测报告》废气排污达标之日（以最先到期日为准）起，1个日历年。</w:t>
      </w:r>
    </w:p>
    <w:p w14:paraId="5E29795F">
      <w:pPr>
        <w:pStyle w:val="9"/>
        <w:rPr>
          <w:rFonts w:hint="eastAsia" w:ascii="仿宋" w:hAnsi="仿宋" w:eastAsia="仿宋" w:cs="仿宋"/>
          <w:color w:val="auto"/>
          <w:sz w:val="32"/>
          <w:szCs w:val="32"/>
          <w:lang w:val="en-US" w:eastAsia="zh-CN"/>
        </w:rPr>
      </w:pPr>
    </w:p>
    <w:p w14:paraId="18940517">
      <w:pPr>
        <w:pStyle w:val="9"/>
        <w:rPr>
          <w:rFonts w:hint="eastAsia" w:ascii="仿宋" w:hAnsi="仿宋" w:eastAsia="仿宋" w:cs="仿宋"/>
          <w:color w:val="auto"/>
          <w:sz w:val="32"/>
          <w:szCs w:val="32"/>
          <w:lang w:val="en-US" w:eastAsia="zh-CN"/>
        </w:rPr>
      </w:pPr>
    </w:p>
    <w:p w14:paraId="455D57D3"/>
    <w:sectPr>
      <w:pgSz w:w="11906" w:h="16838"/>
      <w:pgMar w:top="1474"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2B7BB"/>
    <w:multiLevelType w:val="singleLevel"/>
    <w:tmpl w:val="A022B7B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B56B3"/>
    <w:rsid w:val="000969AD"/>
    <w:rsid w:val="01113D6B"/>
    <w:rsid w:val="01A050EF"/>
    <w:rsid w:val="02EA4873"/>
    <w:rsid w:val="041871BE"/>
    <w:rsid w:val="05452235"/>
    <w:rsid w:val="08A27865"/>
    <w:rsid w:val="08DF474E"/>
    <w:rsid w:val="09963123"/>
    <w:rsid w:val="09992B4F"/>
    <w:rsid w:val="0AC74C7B"/>
    <w:rsid w:val="0BFC1173"/>
    <w:rsid w:val="0E241946"/>
    <w:rsid w:val="0E4C695B"/>
    <w:rsid w:val="0E8649CF"/>
    <w:rsid w:val="146C27B8"/>
    <w:rsid w:val="15744ECF"/>
    <w:rsid w:val="174F2638"/>
    <w:rsid w:val="18A03F67"/>
    <w:rsid w:val="18AE7C99"/>
    <w:rsid w:val="1AB229CE"/>
    <w:rsid w:val="1C694A85"/>
    <w:rsid w:val="1D823644"/>
    <w:rsid w:val="20FD356C"/>
    <w:rsid w:val="21016E14"/>
    <w:rsid w:val="220F1234"/>
    <w:rsid w:val="24672AD2"/>
    <w:rsid w:val="255D282B"/>
    <w:rsid w:val="25722260"/>
    <w:rsid w:val="25C54878"/>
    <w:rsid w:val="279377AD"/>
    <w:rsid w:val="29995C7C"/>
    <w:rsid w:val="2D4B565F"/>
    <w:rsid w:val="31666F0B"/>
    <w:rsid w:val="31B0351D"/>
    <w:rsid w:val="32C97752"/>
    <w:rsid w:val="349F104B"/>
    <w:rsid w:val="35862195"/>
    <w:rsid w:val="37FE2DCB"/>
    <w:rsid w:val="38743CBC"/>
    <w:rsid w:val="39921B3C"/>
    <w:rsid w:val="3B7F6BCD"/>
    <w:rsid w:val="3D424389"/>
    <w:rsid w:val="42CD2DCE"/>
    <w:rsid w:val="43202970"/>
    <w:rsid w:val="438020AF"/>
    <w:rsid w:val="448239F1"/>
    <w:rsid w:val="4646251F"/>
    <w:rsid w:val="480F5595"/>
    <w:rsid w:val="48A14518"/>
    <w:rsid w:val="49F60DC5"/>
    <w:rsid w:val="4BC66E74"/>
    <w:rsid w:val="4EA12ED9"/>
    <w:rsid w:val="4F766114"/>
    <w:rsid w:val="52135C65"/>
    <w:rsid w:val="522E2410"/>
    <w:rsid w:val="568E7EBE"/>
    <w:rsid w:val="58902401"/>
    <w:rsid w:val="58DA3BB7"/>
    <w:rsid w:val="5A9B56B3"/>
    <w:rsid w:val="5B3255E5"/>
    <w:rsid w:val="5B5C4D58"/>
    <w:rsid w:val="5D1F7DE3"/>
    <w:rsid w:val="5D56369F"/>
    <w:rsid w:val="5E3069B3"/>
    <w:rsid w:val="5EB7471A"/>
    <w:rsid w:val="5F27742B"/>
    <w:rsid w:val="5F7A1C50"/>
    <w:rsid w:val="600A6B30"/>
    <w:rsid w:val="62051CA5"/>
    <w:rsid w:val="66157FDD"/>
    <w:rsid w:val="67EE073B"/>
    <w:rsid w:val="68027143"/>
    <w:rsid w:val="6AA04B14"/>
    <w:rsid w:val="6C0905E4"/>
    <w:rsid w:val="71F66F14"/>
    <w:rsid w:val="740D49E9"/>
    <w:rsid w:val="778F5AFE"/>
    <w:rsid w:val="79997202"/>
    <w:rsid w:val="79F006ED"/>
    <w:rsid w:val="79FC52E4"/>
    <w:rsid w:val="7DD520D4"/>
    <w:rsid w:val="7F63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46"/>
      <w:ind w:left="582" w:hanging="362"/>
      <w:outlineLvl w:val="1"/>
    </w:pPr>
    <w:rPr>
      <w:rFonts w:ascii="黑体" w:hAnsi="黑体" w:eastAsia="黑体" w:cs="黑体"/>
      <w:b/>
      <w:bCs/>
      <w:sz w:val="36"/>
      <w:szCs w:val="36"/>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pPr>
      <w:widowControl/>
      <w:spacing w:before="120" w:after="120" w:line="240" w:lineRule="atLeast"/>
    </w:pPr>
    <w:rPr>
      <w:rFonts w:ascii="宋体" w:hAnsi="Courier New"/>
      <w:sz w:val="28"/>
      <w:szCs w:val="20"/>
    </w:rPr>
  </w:style>
  <w:style w:type="paragraph" w:styleId="5">
    <w:name w:val="Body Text First Indent 2"/>
    <w:basedOn w:val="3"/>
    <w:qFormat/>
    <w:uiPriority w:val="0"/>
    <w:pPr>
      <w:ind w:left="0" w:leftChars="0" w:firstLine="0" w:firstLineChars="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3141</Words>
  <Characters>3883</Characters>
  <Lines>0</Lines>
  <Paragraphs>0</Paragraphs>
  <TotalTime>15</TotalTime>
  <ScaleCrop>false</ScaleCrop>
  <LinksUpToDate>false</LinksUpToDate>
  <CharactersWithSpaces>4023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2025-07-03T00:28:00Z</dcterms:created>
  <dc:creator>张</dc:creator>
  <cp:lastModifiedBy>WPS_1470479395</cp:lastModifiedBy>
  <cp:lastPrinted>2025-08-01T09:14:00Z</cp:lastPrinted>
  <dcterms:modified xsi:type="dcterms:W3CDTF">2025-08-14T08:03:42Z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7CBCC66306BA43F084BFE6873A5CEBBC_13</vt:lpwstr>
  </property>
  <property fmtid="{D5CDD505-2E9C-101B-9397-08002B2CF9AE}" pid="4" name="KSOTemplateDocerSaveRecord">
    <vt:lpwstr>eyJoZGlkIjoiZDk1ZTUxZTZlMzk1YWI5MjZhMTBjZTdiZjQ1YTVhMmUiLCJ1c2VySWQiOiIyMzM3MTcwODkifQ==</vt:lpwstr>
  </property>
</Properties>
</file>